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D03E" w14:textId="1A4BCDE3" w:rsidR="006D3E86" w:rsidRDefault="006E6EAF" w:rsidP="006E6EAF">
      <w:pPr>
        <w:ind w:right="1728"/>
        <w:rPr>
          <w:rFonts w:ascii="Arial" w:hAnsi="Arial" w:cs="Arial"/>
          <w:sz w:val="24"/>
          <w:szCs w:val="24"/>
        </w:rPr>
      </w:pPr>
      <w:r w:rsidRPr="00827B3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14:paraId="459CBCCC" w14:textId="709C746D" w:rsidR="00351271" w:rsidRPr="008814F9" w:rsidRDefault="008735E9" w:rsidP="008122CE">
      <w:pPr>
        <w:ind w:right="172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5C2CC3">
        <w:rPr>
          <w:rFonts w:ascii="Arial" w:hAnsi="Arial" w:cs="Arial"/>
          <w:b/>
          <w:sz w:val="32"/>
          <w:szCs w:val="32"/>
        </w:rPr>
        <w:t xml:space="preserve">      </w:t>
      </w:r>
      <w:r w:rsidR="006E6EAF" w:rsidRPr="008814F9">
        <w:rPr>
          <w:rFonts w:ascii="Arial" w:hAnsi="Arial" w:cs="Arial"/>
          <w:b/>
          <w:sz w:val="32"/>
          <w:szCs w:val="32"/>
        </w:rPr>
        <w:t>PRESS RELEASE</w:t>
      </w:r>
    </w:p>
    <w:p w14:paraId="5C8D8160" w14:textId="77777777" w:rsidR="00E305D0" w:rsidRDefault="00E305D0" w:rsidP="006E6EAF">
      <w:pPr>
        <w:rPr>
          <w:rFonts w:ascii="Arial" w:hAnsi="Arial" w:cs="Arial"/>
          <w:b/>
          <w:bCs/>
          <w:sz w:val="24"/>
          <w:szCs w:val="24"/>
        </w:rPr>
      </w:pPr>
    </w:p>
    <w:p w14:paraId="3CEE0749" w14:textId="7848C1B4" w:rsidR="006D3E86" w:rsidRPr="00EA653D" w:rsidRDefault="006E6EAF" w:rsidP="00D5299F">
      <w:pPr>
        <w:rPr>
          <w:rFonts w:ascii="Arial" w:hAnsi="Arial" w:cs="Arial"/>
          <w:b/>
          <w:bCs/>
          <w:sz w:val="24"/>
          <w:szCs w:val="24"/>
        </w:rPr>
      </w:pPr>
      <w:r w:rsidRPr="00EA653D">
        <w:rPr>
          <w:rFonts w:ascii="Arial" w:hAnsi="Arial" w:cs="Arial"/>
          <w:b/>
          <w:bCs/>
          <w:sz w:val="24"/>
          <w:szCs w:val="24"/>
        </w:rPr>
        <w:t>“</w:t>
      </w:r>
      <w:r w:rsidR="00B11BD7">
        <w:rPr>
          <w:rFonts w:ascii="Arial" w:hAnsi="Arial" w:cs="Arial"/>
          <w:b/>
          <w:bCs/>
          <w:sz w:val="24"/>
          <w:szCs w:val="24"/>
        </w:rPr>
        <w:t>B</w:t>
      </w:r>
      <w:r w:rsidR="00D5299F" w:rsidRPr="00EA653D">
        <w:rPr>
          <w:rFonts w:ascii="Arial" w:hAnsi="Arial" w:cs="Arial"/>
          <w:b/>
          <w:bCs/>
          <w:sz w:val="24"/>
          <w:szCs w:val="24"/>
        </w:rPr>
        <w:t xml:space="preserve">uilding climate resilience and reducing emissions </w:t>
      </w:r>
      <w:r w:rsidR="00A671EF" w:rsidRPr="00EA653D">
        <w:rPr>
          <w:rFonts w:ascii="Arial" w:hAnsi="Arial" w:cs="Arial"/>
          <w:b/>
          <w:bCs/>
          <w:sz w:val="24"/>
          <w:szCs w:val="24"/>
        </w:rPr>
        <w:t>is not a choice anymore</w:t>
      </w:r>
      <w:r w:rsidR="006D3E86" w:rsidRPr="00EA653D">
        <w:rPr>
          <w:rFonts w:ascii="Arial" w:hAnsi="Arial" w:cs="Arial"/>
          <w:b/>
          <w:bCs/>
          <w:sz w:val="24"/>
          <w:szCs w:val="24"/>
        </w:rPr>
        <w:t>”</w:t>
      </w:r>
      <w:r w:rsidRPr="00EA65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480D147" w14:textId="57175A81" w:rsidR="00EA653D" w:rsidRDefault="006D3E86" w:rsidP="006E6EAF">
      <w:pPr>
        <w:rPr>
          <w:rFonts w:ascii="Arial" w:hAnsi="Arial" w:cs="Arial"/>
          <w:b/>
          <w:bCs/>
          <w:sz w:val="24"/>
          <w:szCs w:val="24"/>
        </w:rPr>
      </w:pPr>
      <w:r w:rsidRPr="00A671EF">
        <w:rPr>
          <w:rFonts w:ascii="Arial" w:hAnsi="Arial" w:cs="Arial"/>
          <w:b/>
          <w:bCs/>
          <w:sz w:val="24"/>
          <w:szCs w:val="24"/>
        </w:rPr>
        <w:t>“</w:t>
      </w:r>
      <w:r w:rsidR="00EA653D">
        <w:rPr>
          <w:rFonts w:ascii="Arial" w:hAnsi="Arial" w:cs="Arial"/>
          <w:b/>
          <w:bCs/>
          <w:sz w:val="24"/>
          <w:szCs w:val="24"/>
        </w:rPr>
        <w:t xml:space="preserve">With </w:t>
      </w:r>
      <w:r w:rsidR="00C31628">
        <w:rPr>
          <w:rFonts w:ascii="Arial" w:hAnsi="Arial" w:cs="Arial"/>
          <w:b/>
          <w:bCs/>
          <w:sz w:val="24"/>
          <w:szCs w:val="24"/>
        </w:rPr>
        <w:t xml:space="preserve">measures like </w:t>
      </w:r>
      <w:r w:rsidR="00EA653D">
        <w:rPr>
          <w:rFonts w:ascii="Arial" w:hAnsi="Arial" w:cs="Arial"/>
          <w:b/>
          <w:bCs/>
          <w:sz w:val="24"/>
          <w:szCs w:val="24"/>
        </w:rPr>
        <w:t xml:space="preserve">CBAM in place now, </w:t>
      </w:r>
      <w:r w:rsidR="00C31628">
        <w:rPr>
          <w:rFonts w:ascii="Arial" w:hAnsi="Arial" w:cs="Arial"/>
          <w:b/>
          <w:bCs/>
          <w:sz w:val="24"/>
          <w:szCs w:val="24"/>
        </w:rPr>
        <w:t xml:space="preserve">it is imperative for </w:t>
      </w:r>
      <w:r w:rsidR="00281F99">
        <w:rPr>
          <w:rFonts w:ascii="Arial" w:hAnsi="Arial" w:cs="Arial"/>
          <w:b/>
          <w:bCs/>
          <w:sz w:val="24"/>
          <w:szCs w:val="24"/>
        </w:rPr>
        <w:t>I</w:t>
      </w:r>
      <w:r w:rsidR="00C31628">
        <w:rPr>
          <w:rFonts w:ascii="Arial" w:hAnsi="Arial" w:cs="Arial"/>
          <w:b/>
          <w:bCs/>
          <w:sz w:val="24"/>
          <w:szCs w:val="24"/>
        </w:rPr>
        <w:t>ndustry to evolve”</w:t>
      </w:r>
    </w:p>
    <w:p w14:paraId="706EA5F9" w14:textId="3485CFBF" w:rsidR="00EA653D" w:rsidRDefault="00A50DB3" w:rsidP="00A50DB3">
      <w:pPr>
        <w:rPr>
          <w:rFonts w:ascii="Arial" w:hAnsi="Arial" w:cs="Arial"/>
          <w:b/>
          <w:bCs/>
          <w:sz w:val="24"/>
          <w:szCs w:val="24"/>
        </w:rPr>
      </w:pPr>
      <w:r w:rsidRPr="00A50DB3">
        <w:rPr>
          <w:rFonts w:ascii="Arial" w:hAnsi="Arial" w:cs="Arial"/>
          <w:b/>
          <w:bCs/>
          <w:sz w:val="24"/>
          <w:szCs w:val="24"/>
        </w:rPr>
        <w:t>“</w:t>
      </w:r>
      <w:r w:rsidRPr="00A50DB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</w:rPr>
        <w:t>Industry should set their targets for achieving net-zero emissions based on their capabilities”</w:t>
      </w:r>
    </w:p>
    <w:p w14:paraId="545B57A5" w14:textId="638495AB" w:rsidR="006E6EAF" w:rsidRPr="008122CE" w:rsidRDefault="006E6EAF" w:rsidP="008122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27B3E">
        <w:rPr>
          <w:rFonts w:ascii="Arial" w:hAnsi="Arial" w:cs="Arial"/>
          <w:b/>
          <w:bCs/>
          <w:sz w:val="24"/>
          <w:szCs w:val="24"/>
        </w:rPr>
        <w:t xml:space="preserve">- </w:t>
      </w:r>
      <w:r w:rsidR="00381B1A">
        <w:rPr>
          <w:rFonts w:ascii="Arial" w:hAnsi="Arial" w:cs="Arial"/>
          <w:b/>
          <w:bCs/>
          <w:sz w:val="24"/>
          <w:szCs w:val="24"/>
        </w:rPr>
        <w:t xml:space="preserve">Shri </w:t>
      </w:r>
      <w:r w:rsidR="008122CE" w:rsidRPr="001D29BA">
        <w:rPr>
          <w:rFonts w:ascii="Arial" w:hAnsi="Arial" w:cs="Arial"/>
          <w:b/>
          <w:bCs/>
          <w:sz w:val="24"/>
          <w:szCs w:val="24"/>
        </w:rPr>
        <w:t>Sharath Kumar Pallerla, Scientist G, MoEFCC</w:t>
      </w:r>
      <w:r w:rsidRPr="00391D4B">
        <w:rPr>
          <w:rFonts w:ascii="Arial" w:hAnsi="Arial" w:cs="Arial"/>
          <w:b/>
          <w:bCs/>
          <w:sz w:val="24"/>
          <w:szCs w:val="24"/>
          <w:lang w:eastAsia="en-IN"/>
        </w:rPr>
        <w:t>, Government of India</w:t>
      </w:r>
    </w:p>
    <w:p w14:paraId="78D791F9" w14:textId="77777777" w:rsidR="002C5686" w:rsidRDefault="002C5686" w:rsidP="006E6EAF">
      <w:pPr>
        <w:pStyle w:val="Default"/>
        <w:rPr>
          <w:rFonts w:ascii="Arial" w:hAnsi="Arial" w:cs="Arial"/>
          <w:b/>
        </w:rPr>
      </w:pPr>
    </w:p>
    <w:p w14:paraId="062CC25E" w14:textId="77777777" w:rsidR="00945625" w:rsidRPr="00827B3E" w:rsidRDefault="00945625" w:rsidP="006E6EAF">
      <w:pPr>
        <w:pStyle w:val="Default"/>
        <w:rPr>
          <w:rFonts w:ascii="Arial" w:hAnsi="Arial" w:cs="Arial"/>
          <w:b/>
        </w:rPr>
      </w:pPr>
    </w:p>
    <w:p w14:paraId="54325420" w14:textId="5AEED897" w:rsidR="00EA5924" w:rsidRDefault="00381B1A" w:rsidP="006E6EA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="006E6EAF" w:rsidRPr="00827B3E">
        <w:rPr>
          <w:rFonts w:ascii="Arial" w:hAnsi="Arial" w:cs="Arial"/>
          <w:b/>
          <w:sz w:val="24"/>
          <w:szCs w:val="24"/>
        </w:rPr>
        <w:t xml:space="preserve"> </w:t>
      </w:r>
      <w:r w:rsidR="00CB55E7">
        <w:rPr>
          <w:rFonts w:ascii="Arial" w:hAnsi="Arial" w:cs="Arial"/>
          <w:b/>
          <w:sz w:val="24"/>
          <w:szCs w:val="24"/>
        </w:rPr>
        <w:t>organisations</w:t>
      </w:r>
      <w:r w:rsidR="00697CE9">
        <w:rPr>
          <w:rFonts w:ascii="Arial" w:hAnsi="Arial" w:cs="Arial"/>
          <w:b/>
          <w:sz w:val="24"/>
          <w:szCs w:val="24"/>
        </w:rPr>
        <w:t xml:space="preserve"> from manufacturing and service sectors</w:t>
      </w:r>
      <w:r w:rsidR="006E6EAF" w:rsidRPr="00827B3E">
        <w:rPr>
          <w:rFonts w:ascii="Arial" w:hAnsi="Arial" w:cs="Arial"/>
          <w:b/>
          <w:sz w:val="24"/>
          <w:szCs w:val="24"/>
        </w:rPr>
        <w:t xml:space="preserve"> </w:t>
      </w:r>
      <w:r w:rsidR="00697CE9">
        <w:rPr>
          <w:rFonts w:ascii="Arial" w:hAnsi="Arial" w:cs="Arial"/>
          <w:b/>
          <w:sz w:val="24"/>
          <w:szCs w:val="24"/>
        </w:rPr>
        <w:t xml:space="preserve">were </w:t>
      </w:r>
      <w:r w:rsidR="00FE58F2">
        <w:rPr>
          <w:rFonts w:ascii="Arial" w:hAnsi="Arial" w:cs="Arial"/>
          <w:b/>
          <w:sz w:val="24"/>
          <w:szCs w:val="24"/>
        </w:rPr>
        <w:t xml:space="preserve">recognised for their innovative </w:t>
      </w:r>
      <w:r w:rsidR="00CD482A">
        <w:rPr>
          <w:rFonts w:ascii="Arial" w:hAnsi="Arial" w:cs="Arial"/>
          <w:b/>
          <w:sz w:val="24"/>
          <w:szCs w:val="24"/>
        </w:rPr>
        <w:t xml:space="preserve">climate actions, </w:t>
      </w:r>
      <w:r w:rsidR="00FE58F2">
        <w:rPr>
          <w:rFonts w:ascii="Arial" w:hAnsi="Arial" w:cs="Arial"/>
          <w:b/>
          <w:sz w:val="24"/>
          <w:szCs w:val="24"/>
        </w:rPr>
        <w:t>solutions and best practices</w:t>
      </w:r>
      <w:r w:rsidR="00903028">
        <w:rPr>
          <w:rFonts w:ascii="Arial" w:hAnsi="Arial" w:cs="Arial"/>
          <w:b/>
          <w:sz w:val="24"/>
          <w:szCs w:val="24"/>
        </w:rPr>
        <w:t xml:space="preserve"> </w:t>
      </w:r>
      <w:r w:rsidR="006E6EAF" w:rsidRPr="00827B3E">
        <w:rPr>
          <w:rFonts w:ascii="Arial" w:hAnsi="Arial" w:cs="Arial"/>
          <w:b/>
          <w:sz w:val="24"/>
          <w:szCs w:val="24"/>
        </w:rPr>
        <w:t xml:space="preserve">at the </w:t>
      </w:r>
      <w:r>
        <w:rPr>
          <w:rFonts w:ascii="Arial" w:hAnsi="Arial" w:cs="Arial"/>
          <w:b/>
          <w:sz w:val="24"/>
          <w:szCs w:val="24"/>
        </w:rPr>
        <w:t>fifth</w:t>
      </w:r>
      <w:r w:rsidR="006E6EAF" w:rsidRPr="00827B3E">
        <w:rPr>
          <w:rFonts w:ascii="Arial" w:hAnsi="Arial" w:cs="Arial"/>
          <w:b/>
          <w:sz w:val="24"/>
          <w:szCs w:val="24"/>
        </w:rPr>
        <w:t xml:space="preserve"> edition of </w:t>
      </w:r>
      <w:r w:rsidR="00BF697D">
        <w:rPr>
          <w:rFonts w:ascii="Arial" w:hAnsi="Arial" w:cs="Arial"/>
          <w:b/>
          <w:sz w:val="24"/>
          <w:szCs w:val="24"/>
        </w:rPr>
        <w:t xml:space="preserve">the </w:t>
      </w:r>
      <w:r w:rsidR="006E6EAF" w:rsidRPr="00827B3E">
        <w:rPr>
          <w:rFonts w:ascii="Arial" w:hAnsi="Arial" w:cs="Arial"/>
          <w:b/>
          <w:sz w:val="24"/>
          <w:szCs w:val="24"/>
        </w:rPr>
        <w:t>Climate Action Awards (CAP 2.0°)</w:t>
      </w:r>
    </w:p>
    <w:p w14:paraId="650A531D" w14:textId="631D99A1" w:rsidR="007D190E" w:rsidRPr="009A2E67" w:rsidRDefault="00BF04B2" w:rsidP="007D190E">
      <w:pPr>
        <w:pStyle w:val="Defaul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Congratulating</w:t>
      </w:r>
      <w:r w:rsidR="006E6EAF" w:rsidRPr="00827B3E">
        <w:rPr>
          <w:rFonts w:ascii="Arial" w:eastAsia="Times New Roman" w:hAnsi="Arial" w:cs="Arial"/>
        </w:rPr>
        <w:t xml:space="preserve"> the winners, </w:t>
      </w:r>
      <w:r w:rsidR="00381B1A" w:rsidRPr="00381B1A">
        <w:rPr>
          <w:rFonts w:ascii="Arial" w:hAnsi="Arial" w:cs="Arial"/>
        </w:rPr>
        <w:t xml:space="preserve">Shri Sharath Kumar Pallerla, Scientist G, </w:t>
      </w:r>
      <w:r w:rsidR="00152E68" w:rsidRPr="00152E68">
        <w:rPr>
          <w:rFonts w:ascii="Arial" w:hAnsi="Arial" w:cs="Arial"/>
        </w:rPr>
        <w:t>Ministry of Environment, Forest and Climate Change</w:t>
      </w:r>
      <w:r w:rsidR="006E6EAF" w:rsidRPr="00391D4B">
        <w:rPr>
          <w:rFonts w:ascii="Arial" w:hAnsi="Arial" w:cs="Arial"/>
          <w:lang w:eastAsia="en-IN"/>
        </w:rPr>
        <w:t>, Government of India</w:t>
      </w:r>
      <w:r w:rsidR="006E6EAF" w:rsidRPr="00827B3E">
        <w:rPr>
          <w:rFonts w:ascii="Arial" w:hAnsi="Arial" w:cs="Arial"/>
          <w:lang w:eastAsia="en-IN"/>
        </w:rPr>
        <w:t xml:space="preserve">, </w:t>
      </w:r>
      <w:r w:rsidR="00310A8B">
        <w:rPr>
          <w:rFonts w:ascii="Arial" w:hAnsi="Arial" w:cs="Arial"/>
          <w:lang w:eastAsia="en-IN"/>
        </w:rPr>
        <w:t xml:space="preserve">spoke about </w:t>
      </w:r>
      <w:r w:rsidR="00CF6DDB">
        <w:rPr>
          <w:rFonts w:ascii="Arial" w:hAnsi="Arial" w:cs="Arial"/>
          <w:lang w:eastAsia="en-IN"/>
        </w:rPr>
        <w:t>Industry</w:t>
      </w:r>
      <w:r w:rsidR="00FA6590">
        <w:rPr>
          <w:rFonts w:ascii="Arial" w:hAnsi="Arial" w:cs="Arial"/>
          <w:lang w:eastAsia="en-IN"/>
        </w:rPr>
        <w:t>’s</w:t>
      </w:r>
      <w:r w:rsidR="00310A8B">
        <w:rPr>
          <w:rFonts w:ascii="Arial" w:hAnsi="Arial" w:cs="Arial"/>
          <w:lang w:eastAsia="en-IN"/>
        </w:rPr>
        <w:t xml:space="preserve"> </w:t>
      </w:r>
      <w:r w:rsidR="00FA6590">
        <w:rPr>
          <w:rFonts w:ascii="Arial" w:hAnsi="Arial" w:cs="Arial"/>
          <w:lang w:eastAsia="en-IN"/>
        </w:rPr>
        <w:t xml:space="preserve">critical </w:t>
      </w:r>
      <w:r w:rsidR="00310A8B">
        <w:rPr>
          <w:rFonts w:ascii="Arial" w:hAnsi="Arial" w:cs="Arial"/>
          <w:lang w:eastAsia="en-IN"/>
        </w:rPr>
        <w:t>contribution to India’s climate commitments</w:t>
      </w:r>
      <w:r w:rsidR="007D190E">
        <w:rPr>
          <w:rFonts w:ascii="Arial" w:hAnsi="Arial" w:cs="Arial"/>
          <w:lang w:eastAsia="en-IN"/>
        </w:rPr>
        <w:t xml:space="preserve"> and </w:t>
      </w:r>
      <w:r w:rsidR="003A4ACF">
        <w:rPr>
          <w:rFonts w:ascii="Arial" w:hAnsi="Arial" w:cs="Arial"/>
          <w:lang w:eastAsia="en-IN"/>
        </w:rPr>
        <w:t>emission reduction</w:t>
      </w:r>
      <w:r w:rsidR="00310A8B">
        <w:rPr>
          <w:rFonts w:ascii="Arial" w:hAnsi="Arial" w:cs="Arial"/>
          <w:lang w:eastAsia="en-IN"/>
        </w:rPr>
        <w:t xml:space="preserve">. </w:t>
      </w:r>
      <w:r w:rsidR="007D190E">
        <w:rPr>
          <w:rFonts w:ascii="Arial" w:eastAsia="Times New Roman" w:hAnsi="Arial" w:cs="Arial"/>
        </w:rPr>
        <w:t xml:space="preserve">Referring to the principle of </w:t>
      </w:r>
      <w:r w:rsidR="007D190E" w:rsidRPr="007533E7">
        <w:rPr>
          <w:rFonts w:ascii="Arial" w:eastAsia="Times New Roman" w:hAnsi="Arial" w:cs="Arial"/>
        </w:rPr>
        <w:t xml:space="preserve">Common but Differentiated Responsibilities </w:t>
      </w:r>
      <w:r w:rsidR="007D190E">
        <w:rPr>
          <w:rFonts w:ascii="Arial" w:eastAsia="Times New Roman" w:hAnsi="Arial" w:cs="Arial"/>
        </w:rPr>
        <w:t xml:space="preserve">(CBDR), Shri </w:t>
      </w:r>
      <w:r w:rsidR="007D190E" w:rsidRPr="00381B1A">
        <w:rPr>
          <w:rFonts w:ascii="Arial" w:hAnsi="Arial" w:cs="Arial"/>
        </w:rPr>
        <w:t>Pallerla</w:t>
      </w:r>
      <w:r w:rsidR="007D190E">
        <w:rPr>
          <w:rFonts w:ascii="Arial" w:eastAsia="Times New Roman" w:hAnsi="Arial" w:cs="Arial"/>
        </w:rPr>
        <w:t xml:space="preserve"> suggested that I</w:t>
      </w:r>
      <w:r w:rsidR="007D190E" w:rsidRPr="00A50DB3">
        <w:rPr>
          <w:rFonts w:ascii="Arial" w:eastAsia="Times New Roman" w:hAnsi="Arial" w:cs="Arial"/>
        </w:rPr>
        <w:t>ndustr</w:t>
      </w:r>
      <w:r w:rsidR="007D190E">
        <w:rPr>
          <w:rFonts w:ascii="Arial" w:eastAsia="Times New Roman" w:hAnsi="Arial" w:cs="Arial"/>
        </w:rPr>
        <w:t xml:space="preserve">y </w:t>
      </w:r>
      <w:r w:rsidR="007D190E" w:rsidRPr="00A50DB3">
        <w:rPr>
          <w:rFonts w:ascii="Arial" w:eastAsia="Times New Roman" w:hAnsi="Arial" w:cs="Arial"/>
        </w:rPr>
        <w:t xml:space="preserve">should set their targets for achieving net-zero emissions based on their capabilities. </w:t>
      </w:r>
      <w:r w:rsidR="007D190E" w:rsidRPr="00827B3E">
        <w:rPr>
          <w:rFonts w:ascii="Arial" w:eastAsia="Times New Roman" w:hAnsi="Arial" w:cs="Arial"/>
        </w:rPr>
        <w:t xml:space="preserve">He was </w:t>
      </w:r>
      <w:r w:rsidR="007D190E" w:rsidRPr="00827B3E">
        <w:rPr>
          <w:rFonts w:ascii="Arial" w:hAnsi="Arial" w:cs="Arial"/>
          <w:lang w:eastAsia="en-IN"/>
        </w:rPr>
        <w:t xml:space="preserve">speaking at the CAP 2.0° Awards Ceremony organized in New Delhi on </w:t>
      </w:r>
      <w:r w:rsidR="007D190E">
        <w:rPr>
          <w:rFonts w:ascii="Arial" w:hAnsi="Arial" w:cs="Arial"/>
          <w:lang w:eastAsia="en-IN"/>
        </w:rPr>
        <w:t>2</w:t>
      </w:r>
      <w:r w:rsidR="007D190E" w:rsidRPr="00827B3E">
        <w:rPr>
          <w:rFonts w:ascii="Arial" w:hAnsi="Arial" w:cs="Arial"/>
          <w:lang w:eastAsia="en-IN"/>
        </w:rPr>
        <w:t>8 March</w:t>
      </w:r>
      <w:r w:rsidR="007D190E">
        <w:rPr>
          <w:rFonts w:ascii="Arial" w:hAnsi="Arial" w:cs="Arial"/>
          <w:lang w:eastAsia="en-IN"/>
        </w:rPr>
        <w:t xml:space="preserve"> </w:t>
      </w:r>
      <w:r w:rsidR="007D190E" w:rsidRPr="00827B3E">
        <w:rPr>
          <w:rFonts w:ascii="Arial" w:hAnsi="Arial" w:cs="Arial"/>
          <w:lang w:eastAsia="en-IN"/>
        </w:rPr>
        <w:t>202</w:t>
      </w:r>
      <w:r w:rsidR="007D190E">
        <w:rPr>
          <w:rFonts w:ascii="Arial" w:hAnsi="Arial" w:cs="Arial"/>
          <w:lang w:eastAsia="en-IN"/>
        </w:rPr>
        <w:t>5</w:t>
      </w:r>
      <w:r w:rsidR="007D190E" w:rsidRPr="00827B3E">
        <w:rPr>
          <w:rFonts w:ascii="Arial" w:hAnsi="Arial" w:cs="Arial"/>
          <w:lang w:eastAsia="en-IN"/>
        </w:rPr>
        <w:t xml:space="preserve">. </w:t>
      </w:r>
    </w:p>
    <w:p w14:paraId="18EFA3A9" w14:textId="77777777" w:rsidR="007D190E" w:rsidRDefault="007D190E" w:rsidP="006E6EAF">
      <w:pPr>
        <w:pStyle w:val="Default"/>
        <w:rPr>
          <w:rFonts w:ascii="Arial" w:hAnsi="Arial" w:cs="Arial"/>
          <w:lang w:eastAsia="en-IN"/>
        </w:rPr>
      </w:pPr>
    </w:p>
    <w:p w14:paraId="512C3895" w14:textId="52CDABDA" w:rsidR="006226DA" w:rsidRPr="00274ECF" w:rsidRDefault="00FA6590" w:rsidP="00A50DB3">
      <w:pPr>
        <w:pStyle w:val="Default"/>
        <w:rPr>
          <w:rFonts w:ascii="Arial" w:eastAsia="Times New Roman" w:hAnsi="Arial" w:cs="Arial"/>
        </w:rPr>
      </w:pPr>
      <w:r w:rsidRPr="00274ECF">
        <w:rPr>
          <w:rFonts w:ascii="Arial" w:eastAsia="Times New Roman" w:hAnsi="Arial" w:cs="Arial"/>
        </w:rPr>
        <w:t>“</w:t>
      </w:r>
      <w:r w:rsidR="006226DA" w:rsidRPr="00A50DB3">
        <w:rPr>
          <w:rFonts w:ascii="Arial" w:eastAsia="Times New Roman" w:hAnsi="Arial" w:cs="Arial"/>
        </w:rPr>
        <w:t>Net zero is not option; it is essential for survival</w:t>
      </w:r>
      <w:r w:rsidRPr="00274ECF">
        <w:rPr>
          <w:rFonts w:ascii="Arial" w:eastAsia="Times New Roman" w:hAnsi="Arial" w:cs="Arial"/>
        </w:rPr>
        <w:t>”, he said</w:t>
      </w:r>
      <w:r w:rsidR="001E412C" w:rsidRPr="00274ECF">
        <w:rPr>
          <w:rFonts w:ascii="Arial" w:eastAsia="Times New Roman" w:hAnsi="Arial" w:cs="Arial"/>
        </w:rPr>
        <w:t xml:space="preserve">, </w:t>
      </w:r>
      <w:r w:rsidR="00104D39" w:rsidRPr="00274ECF">
        <w:rPr>
          <w:rFonts w:ascii="Arial" w:eastAsia="Times New Roman" w:hAnsi="Arial" w:cs="Arial"/>
        </w:rPr>
        <w:t xml:space="preserve">adding that </w:t>
      </w:r>
      <w:r w:rsidR="00BA25F5">
        <w:rPr>
          <w:rFonts w:ascii="Arial" w:hAnsi="Arial" w:cs="Arial"/>
        </w:rPr>
        <w:t>i</w:t>
      </w:r>
      <w:r w:rsidR="00104D39" w:rsidRPr="00274ECF">
        <w:rPr>
          <w:rFonts w:ascii="Arial" w:hAnsi="Arial" w:cs="Arial"/>
        </w:rPr>
        <w:t xml:space="preserve">t is a choice, not only for our systems, but </w:t>
      </w:r>
      <w:r w:rsidR="00567CC8">
        <w:rPr>
          <w:rFonts w:ascii="Arial" w:hAnsi="Arial" w:cs="Arial"/>
        </w:rPr>
        <w:t xml:space="preserve">also for the </w:t>
      </w:r>
      <w:r w:rsidR="00104D39" w:rsidRPr="00274ECF">
        <w:rPr>
          <w:rFonts w:ascii="Arial" w:hAnsi="Arial" w:cs="Arial"/>
        </w:rPr>
        <w:t>survival of business</w:t>
      </w:r>
      <w:r w:rsidR="00567CC8">
        <w:rPr>
          <w:rFonts w:ascii="Arial" w:hAnsi="Arial" w:cs="Arial"/>
        </w:rPr>
        <w:t>es</w:t>
      </w:r>
      <w:r w:rsidR="00F345D1">
        <w:rPr>
          <w:rFonts w:ascii="Arial" w:hAnsi="Arial" w:cs="Arial"/>
        </w:rPr>
        <w:t xml:space="preserve">. </w:t>
      </w:r>
      <w:r w:rsidR="00F20119">
        <w:rPr>
          <w:rFonts w:ascii="Arial" w:hAnsi="Arial" w:cs="Arial"/>
        </w:rPr>
        <w:t xml:space="preserve">He further highlighted that </w:t>
      </w:r>
      <w:r w:rsidR="0062486E">
        <w:rPr>
          <w:rFonts w:ascii="Arial" w:eastAsia="Times New Roman" w:hAnsi="Arial" w:cs="Arial"/>
        </w:rPr>
        <w:t>f</w:t>
      </w:r>
      <w:r w:rsidR="006758A8" w:rsidRPr="00274ECF">
        <w:rPr>
          <w:rFonts w:ascii="Arial" w:eastAsia="Times New Roman" w:hAnsi="Arial" w:cs="Arial"/>
        </w:rPr>
        <w:t xml:space="preserve">or </w:t>
      </w:r>
      <w:r w:rsidR="00567CC8">
        <w:rPr>
          <w:rFonts w:ascii="Arial" w:eastAsia="Times New Roman" w:hAnsi="Arial" w:cs="Arial"/>
        </w:rPr>
        <w:t>organisations</w:t>
      </w:r>
      <w:r w:rsidR="006226DA" w:rsidRPr="00A50DB3">
        <w:rPr>
          <w:rFonts w:ascii="Arial" w:eastAsia="Times New Roman" w:hAnsi="Arial" w:cs="Arial"/>
        </w:rPr>
        <w:t xml:space="preserve"> wish</w:t>
      </w:r>
      <w:r w:rsidR="006758A8" w:rsidRPr="00274ECF">
        <w:rPr>
          <w:rFonts w:ascii="Arial" w:eastAsia="Times New Roman" w:hAnsi="Arial" w:cs="Arial"/>
        </w:rPr>
        <w:t>ing</w:t>
      </w:r>
      <w:r w:rsidR="006226DA" w:rsidRPr="00A50DB3">
        <w:rPr>
          <w:rFonts w:ascii="Arial" w:eastAsia="Times New Roman" w:hAnsi="Arial" w:cs="Arial"/>
        </w:rPr>
        <w:t xml:space="preserve"> to operate globally</w:t>
      </w:r>
      <w:r w:rsidRPr="00274ECF">
        <w:rPr>
          <w:rFonts w:ascii="Arial" w:eastAsia="Times New Roman" w:hAnsi="Arial" w:cs="Arial"/>
        </w:rPr>
        <w:t xml:space="preserve">, </w:t>
      </w:r>
      <w:r w:rsidR="006226DA" w:rsidRPr="00A50DB3">
        <w:rPr>
          <w:rFonts w:ascii="Arial" w:eastAsia="Times New Roman" w:hAnsi="Arial" w:cs="Arial"/>
        </w:rPr>
        <w:t>reducing greenhouse gas emissions is critical</w:t>
      </w:r>
      <w:r w:rsidR="001A7A5D">
        <w:rPr>
          <w:rFonts w:ascii="Arial" w:eastAsia="Times New Roman" w:hAnsi="Arial" w:cs="Arial"/>
        </w:rPr>
        <w:t>.</w:t>
      </w:r>
      <w:r w:rsidR="0062486E">
        <w:rPr>
          <w:rFonts w:ascii="Arial" w:eastAsia="Times New Roman" w:hAnsi="Arial" w:cs="Arial"/>
        </w:rPr>
        <w:t xml:space="preserve"> Mr </w:t>
      </w:r>
      <w:r w:rsidR="0062486E" w:rsidRPr="00381B1A">
        <w:rPr>
          <w:rFonts w:ascii="Arial" w:hAnsi="Arial" w:cs="Arial"/>
        </w:rPr>
        <w:t>Pallerla</w:t>
      </w:r>
      <w:r w:rsidR="0062486E">
        <w:rPr>
          <w:rFonts w:ascii="Arial" w:hAnsi="Arial" w:cs="Arial"/>
        </w:rPr>
        <w:t xml:space="preserve"> also shared that</w:t>
      </w:r>
      <w:r w:rsidR="007533E7" w:rsidRPr="00274ECF">
        <w:rPr>
          <w:rFonts w:ascii="Arial" w:eastAsia="Times New Roman" w:hAnsi="Arial" w:cs="Arial"/>
        </w:rPr>
        <w:t xml:space="preserve"> India will soon have </w:t>
      </w:r>
      <w:r w:rsidR="00D16CAB" w:rsidRPr="00274ECF">
        <w:rPr>
          <w:rFonts w:ascii="Arial" w:eastAsia="Times New Roman" w:hAnsi="Arial" w:cs="Arial"/>
        </w:rPr>
        <w:t>a</w:t>
      </w:r>
      <w:r w:rsidR="00A50DB3" w:rsidRPr="00A50DB3">
        <w:rPr>
          <w:rFonts w:ascii="Arial" w:eastAsia="Times New Roman" w:hAnsi="Arial" w:cs="Arial"/>
        </w:rPr>
        <w:t xml:space="preserve"> net-zero portal </w:t>
      </w:r>
      <w:r w:rsidR="00D16CAB" w:rsidRPr="00274ECF">
        <w:rPr>
          <w:rFonts w:ascii="Arial" w:eastAsia="Times New Roman" w:hAnsi="Arial" w:cs="Arial"/>
        </w:rPr>
        <w:t>that will include the net zero targets of companies in India</w:t>
      </w:r>
      <w:r w:rsidR="00F20119">
        <w:rPr>
          <w:rFonts w:ascii="Arial" w:eastAsia="Times New Roman" w:hAnsi="Arial" w:cs="Arial"/>
        </w:rPr>
        <w:t>.</w:t>
      </w:r>
      <w:r w:rsidR="0062486E">
        <w:rPr>
          <w:rFonts w:ascii="Arial" w:eastAsia="Times New Roman" w:hAnsi="Arial" w:cs="Arial"/>
        </w:rPr>
        <w:t xml:space="preserve"> T</w:t>
      </w:r>
      <w:r w:rsidR="00D16CAB" w:rsidRPr="00274ECF">
        <w:rPr>
          <w:rFonts w:ascii="Arial" w:eastAsia="Times New Roman" w:hAnsi="Arial" w:cs="Arial"/>
        </w:rPr>
        <w:t>his information</w:t>
      </w:r>
      <w:r w:rsidR="0062486E">
        <w:rPr>
          <w:rFonts w:ascii="Arial" w:eastAsia="Times New Roman" w:hAnsi="Arial" w:cs="Arial"/>
        </w:rPr>
        <w:t>, he said,</w:t>
      </w:r>
      <w:r w:rsidR="00D16CAB" w:rsidRPr="00274ECF">
        <w:rPr>
          <w:rFonts w:ascii="Arial" w:eastAsia="Times New Roman" w:hAnsi="Arial" w:cs="Arial"/>
        </w:rPr>
        <w:t xml:space="preserve"> will be useful for </w:t>
      </w:r>
      <w:r w:rsidR="00700701" w:rsidRPr="00274ECF">
        <w:rPr>
          <w:rFonts w:ascii="Arial" w:eastAsia="Times New Roman" w:hAnsi="Arial" w:cs="Arial"/>
        </w:rPr>
        <w:t>global investors</w:t>
      </w:r>
      <w:r w:rsidR="00280A85" w:rsidRPr="00274ECF">
        <w:rPr>
          <w:rFonts w:ascii="Arial" w:eastAsia="Times New Roman" w:hAnsi="Arial" w:cs="Arial"/>
        </w:rPr>
        <w:t xml:space="preserve"> as well as for</w:t>
      </w:r>
      <w:r w:rsidR="007C7D95" w:rsidRPr="00274ECF">
        <w:rPr>
          <w:rFonts w:ascii="Arial" w:eastAsia="Times New Roman" w:hAnsi="Arial" w:cs="Arial"/>
        </w:rPr>
        <w:t xml:space="preserve"> financial institutions who</w:t>
      </w:r>
      <w:r w:rsidR="006226DA" w:rsidRPr="00274ECF">
        <w:rPr>
          <w:rFonts w:ascii="Arial" w:eastAsia="Times New Roman" w:hAnsi="Arial" w:cs="Arial"/>
        </w:rPr>
        <w:t xml:space="preserve"> are responsible for </w:t>
      </w:r>
      <w:r w:rsidR="0051267A" w:rsidRPr="00274ECF">
        <w:rPr>
          <w:rFonts w:ascii="Arial" w:eastAsia="Times New Roman" w:hAnsi="Arial" w:cs="Arial"/>
        </w:rPr>
        <w:t>climate finance</w:t>
      </w:r>
      <w:r w:rsidR="00A339B3">
        <w:rPr>
          <w:rFonts w:ascii="Arial" w:eastAsia="Times New Roman" w:hAnsi="Arial" w:cs="Arial"/>
        </w:rPr>
        <w:t>.</w:t>
      </w:r>
    </w:p>
    <w:p w14:paraId="687DADF1" w14:textId="77777777" w:rsidR="00A50DB3" w:rsidRDefault="00A50DB3" w:rsidP="006E6EAF">
      <w:pPr>
        <w:pStyle w:val="Default"/>
        <w:rPr>
          <w:rFonts w:ascii="Arial" w:eastAsia="Times New Roman" w:hAnsi="Arial" w:cs="Arial"/>
        </w:rPr>
      </w:pPr>
    </w:p>
    <w:p w14:paraId="356148A2" w14:textId="2995A2C9" w:rsidR="003A5B7D" w:rsidRDefault="004B2B83" w:rsidP="00261717">
      <w:pPr>
        <w:pStyle w:val="Defaul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Talking about the </w:t>
      </w:r>
      <w:r w:rsidR="00E24E0B">
        <w:rPr>
          <w:rFonts w:ascii="Arial" w:eastAsia="Times New Roman" w:hAnsi="Arial" w:cs="Arial"/>
        </w:rPr>
        <w:t xml:space="preserve">need for climate actions, </w:t>
      </w:r>
      <w:r w:rsidR="004C0F61" w:rsidRPr="004C0F61">
        <w:rPr>
          <w:rFonts w:ascii="Arial" w:eastAsia="Times New Roman" w:hAnsi="Arial" w:cs="Arial"/>
        </w:rPr>
        <w:t xml:space="preserve">Mr Ravi Singh, Secretary General </w:t>
      </w:r>
      <w:r w:rsidR="00553860">
        <w:rPr>
          <w:rFonts w:ascii="Arial" w:eastAsia="Times New Roman" w:hAnsi="Arial" w:cs="Arial"/>
        </w:rPr>
        <w:t xml:space="preserve">and </w:t>
      </w:r>
      <w:r w:rsidR="004C0F61" w:rsidRPr="004C0F61">
        <w:rPr>
          <w:rFonts w:ascii="Arial" w:eastAsia="Times New Roman" w:hAnsi="Arial" w:cs="Arial"/>
        </w:rPr>
        <w:t xml:space="preserve">CEO, World Wide Fund for Nature </w:t>
      </w:r>
      <w:r w:rsidR="000219C8">
        <w:rPr>
          <w:rFonts w:ascii="Arial" w:eastAsia="Times New Roman" w:hAnsi="Arial" w:cs="Arial"/>
        </w:rPr>
        <w:t>–</w:t>
      </w:r>
      <w:r w:rsidR="004C0F61" w:rsidRPr="004C0F61">
        <w:rPr>
          <w:rFonts w:ascii="Arial" w:eastAsia="Times New Roman" w:hAnsi="Arial" w:cs="Arial"/>
        </w:rPr>
        <w:t xml:space="preserve"> India</w:t>
      </w:r>
      <w:r>
        <w:rPr>
          <w:rFonts w:ascii="Arial" w:eastAsia="Times New Roman" w:hAnsi="Arial" w:cs="Arial"/>
        </w:rPr>
        <w:t xml:space="preserve">, </w:t>
      </w:r>
      <w:r w:rsidR="00F345D1">
        <w:rPr>
          <w:rFonts w:ascii="Arial" w:eastAsia="Times New Roman" w:hAnsi="Arial" w:cs="Arial"/>
        </w:rPr>
        <w:t xml:space="preserve">said that </w:t>
      </w:r>
      <w:r w:rsidR="00F429CF">
        <w:rPr>
          <w:rFonts w:ascii="Arial" w:eastAsia="Times New Roman" w:hAnsi="Arial" w:cs="Arial"/>
        </w:rPr>
        <w:t>Ind</w:t>
      </w:r>
      <w:r w:rsidR="00F345D1">
        <w:rPr>
          <w:rFonts w:ascii="Arial" w:eastAsia="Times New Roman" w:hAnsi="Arial" w:cs="Arial"/>
        </w:rPr>
        <w:t>ia</w:t>
      </w:r>
      <w:r w:rsidR="00F429CF">
        <w:rPr>
          <w:rFonts w:ascii="Arial" w:eastAsia="Times New Roman" w:hAnsi="Arial" w:cs="Arial"/>
        </w:rPr>
        <w:t xml:space="preserve"> lead</w:t>
      </w:r>
      <w:r w:rsidR="00F345D1">
        <w:rPr>
          <w:rFonts w:ascii="Arial" w:eastAsia="Times New Roman" w:hAnsi="Arial" w:cs="Arial"/>
        </w:rPr>
        <w:t>s</w:t>
      </w:r>
      <w:r w:rsidR="00F429CF">
        <w:rPr>
          <w:rFonts w:ascii="Arial" w:eastAsia="Times New Roman" w:hAnsi="Arial" w:cs="Arial"/>
        </w:rPr>
        <w:t xml:space="preserve"> the world</w:t>
      </w:r>
      <w:r w:rsidR="00565E7F">
        <w:rPr>
          <w:rFonts w:ascii="Arial" w:eastAsia="Times New Roman" w:hAnsi="Arial" w:cs="Arial"/>
        </w:rPr>
        <w:t xml:space="preserve"> with unique climate initiatives</w:t>
      </w:r>
      <w:r w:rsidR="007D5E96">
        <w:rPr>
          <w:rFonts w:ascii="Arial" w:eastAsia="Times New Roman" w:hAnsi="Arial" w:cs="Arial"/>
        </w:rPr>
        <w:t xml:space="preserve"> and these</w:t>
      </w:r>
      <w:r w:rsidR="003A5B7D">
        <w:rPr>
          <w:rFonts w:ascii="Arial" w:eastAsia="Times New Roman" w:hAnsi="Arial" w:cs="Arial"/>
        </w:rPr>
        <w:t xml:space="preserve"> actions</w:t>
      </w:r>
      <w:r w:rsidR="003A5B7D" w:rsidRPr="00F429CF">
        <w:rPr>
          <w:rFonts w:ascii="Arial" w:eastAsia="Times New Roman" w:hAnsi="Arial" w:cs="Arial"/>
        </w:rPr>
        <w:t xml:space="preserve"> </w:t>
      </w:r>
      <w:r w:rsidR="00F345D1">
        <w:rPr>
          <w:rFonts w:ascii="Arial" w:eastAsia="Times New Roman" w:hAnsi="Arial" w:cs="Arial"/>
        </w:rPr>
        <w:t xml:space="preserve">should be shared globally. </w:t>
      </w:r>
      <w:r w:rsidR="00EE1CEF">
        <w:rPr>
          <w:rFonts w:ascii="Arial" w:eastAsia="Times New Roman" w:hAnsi="Arial" w:cs="Arial"/>
        </w:rPr>
        <w:t>“W</w:t>
      </w:r>
      <w:r w:rsidR="003A5B7D">
        <w:rPr>
          <w:rFonts w:ascii="Arial" w:eastAsia="Times New Roman" w:hAnsi="Arial" w:cs="Arial"/>
        </w:rPr>
        <w:t xml:space="preserve">hile the Government is leading </w:t>
      </w:r>
      <w:r w:rsidR="009A2E67">
        <w:rPr>
          <w:rFonts w:ascii="Arial" w:eastAsia="Times New Roman" w:hAnsi="Arial" w:cs="Arial"/>
        </w:rPr>
        <w:t>the country’s</w:t>
      </w:r>
      <w:r w:rsidR="003A5B7D">
        <w:rPr>
          <w:rFonts w:ascii="Arial" w:eastAsia="Times New Roman" w:hAnsi="Arial" w:cs="Arial"/>
        </w:rPr>
        <w:t xml:space="preserve"> climate actions, a lot depends on the steps taken by the Industry</w:t>
      </w:r>
      <w:r w:rsidR="008E2110">
        <w:rPr>
          <w:rFonts w:ascii="Arial" w:eastAsia="Times New Roman" w:hAnsi="Arial" w:cs="Arial"/>
        </w:rPr>
        <w:t xml:space="preserve"> </w:t>
      </w:r>
      <w:r w:rsidR="00F87B29">
        <w:rPr>
          <w:rFonts w:ascii="Arial" w:eastAsia="Times New Roman" w:hAnsi="Arial" w:cs="Arial"/>
        </w:rPr>
        <w:t>and how it</w:t>
      </w:r>
      <w:r w:rsidR="003A5B7D" w:rsidRPr="00BB1AED">
        <w:rPr>
          <w:rFonts w:ascii="Arial" w:eastAsia="Times New Roman" w:hAnsi="Arial" w:cs="Arial"/>
        </w:rPr>
        <w:t xml:space="preserve"> deal</w:t>
      </w:r>
      <w:r w:rsidR="00F87B29">
        <w:rPr>
          <w:rFonts w:ascii="Arial" w:eastAsia="Times New Roman" w:hAnsi="Arial" w:cs="Arial"/>
        </w:rPr>
        <w:t>s</w:t>
      </w:r>
      <w:r w:rsidR="003A5B7D" w:rsidRPr="00BB1AED">
        <w:rPr>
          <w:rFonts w:ascii="Arial" w:eastAsia="Times New Roman" w:hAnsi="Arial" w:cs="Arial"/>
        </w:rPr>
        <w:t xml:space="preserve"> with suppliers, customers,</w:t>
      </w:r>
      <w:r w:rsidR="00F87B29">
        <w:rPr>
          <w:rFonts w:ascii="Arial" w:eastAsia="Times New Roman" w:hAnsi="Arial" w:cs="Arial"/>
        </w:rPr>
        <w:t xml:space="preserve"> and</w:t>
      </w:r>
      <w:r w:rsidR="003A5B7D" w:rsidRPr="00BB1AED">
        <w:rPr>
          <w:rFonts w:ascii="Arial" w:eastAsia="Times New Roman" w:hAnsi="Arial" w:cs="Arial"/>
        </w:rPr>
        <w:t xml:space="preserve"> the</w:t>
      </w:r>
      <w:r w:rsidR="003A5B7D">
        <w:rPr>
          <w:rFonts w:ascii="Arial" w:eastAsia="Times New Roman" w:hAnsi="Arial" w:cs="Arial"/>
        </w:rPr>
        <w:t xml:space="preserve"> </w:t>
      </w:r>
      <w:r w:rsidR="003A5B7D" w:rsidRPr="00BB1AED">
        <w:rPr>
          <w:rFonts w:ascii="Arial" w:eastAsia="Times New Roman" w:hAnsi="Arial" w:cs="Arial"/>
        </w:rPr>
        <w:t xml:space="preserve">people </w:t>
      </w:r>
      <w:r w:rsidR="00886D1E">
        <w:rPr>
          <w:rFonts w:ascii="Arial" w:eastAsia="Times New Roman" w:hAnsi="Arial" w:cs="Arial"/>
        </w:rPr>
        <w:t>it</w:t>
      </w:r>
      <w:r w:rsidR="003A5B7D" w:rsidRPr="00BB1AED">
        <w:rPr>
          <w:rFonts w:ascii="Arial" w:eastAsia="Times New Roman" w:hAnsi="Arial" w:cs="Arial"/>
        </w:rPr>
        <w:t xml:space="preserve"> work</w:t>
      </w:r>
      <w:r w:rsidR="00886D1E">
        <w:rPr>
          <w:rFonts w:ascii="Arial" w:eastAsia="Times New Roman" w:hAnsi="Arial" w:cs="Arial"/>
        </w:rPr>
        <w:t>s</w:t>
      </w:r>
      <w:r w:rsidR="003A5B7D" w:rsidRPr="00BB1AED">
        <w:rPr>
          <w:rFonts w:ascii="Arial" w:eastAsia="Times New Roman" w:hAnsi="Arial" w:cs="Arial"/>
        </w:rPr>
        <w:t xml:space="preserve"> with</w:t>
      </w:r>
      <w:r w:rsidR="00BA25F5">
        <w:rPr>
          <w:rFonts w:ascii="Arial" w:eastAsia="Times New Roman" w:hAnsi="Arial" w:cs="Arial"/>
        </w:rPr>
        <w:t>”, he advised</w:t>
      </w:r>
      <w:r w:rsidR="00886D1E">
        <w:rPr>
          <w:rFonts w:ascii="Arial" w:eastAsia="Times New Roman" w:hAnsi="Arial" w:cs="Arial"/>
        </w:rPr>
        <w:t xml:space="preserve">. </w:t>
      </w:r>
    </w:p>
    <w:p w14:paraId="37618CBF" w14:textId="7223EDED" w:rsidR="00AC764A" w:rsidRPr="00827B3E" w:rsidRDefault="000219C8" w:rsidP="006E6EAF">
      <w:pPr>
        <w:pStyle w:val="Defaul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20C656FC" w14:textId="36C441A5" w:rsidR="001C0C69" w:rsidRDefault="00073B70" w:rsidP="0033300E">
      <w:pPr>
        <w:tabs>
          <w:tab w:val="left" w:pos="7910"/>
        </w:tabs>
        <w:rPr>
          <w:rFonts w:ascii="Arial" w:eastAsia="Times New Roman" w:hAnsi="Arial" w:cs="Arial"/>
          <w:color w:val="000000"/>
          <w:kern w:val="0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>Highlight</w:t>
      </w:r>
      <w:r w:rsidR="00B20454">
        <w:rPr>
          <w:rFonts w:ascii="Arial" w:eastAsia="Times New Roman" w:hAnsi="Arial" w:cs="Arial"/>
          <w:color w:val="000000"/>
          <w:kern w:val="0"/>
          <w:sz w:val="24"/>
          <w:szCs w:val="24"/>
        </w:rPr>
        <w:t>ing</w:t>
      </w: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r w:rsidR="00B43956">
        <w:rPr>
          <w:rFonts w:ascii="Arial" w:eastAsia="Times New Roman" w:hAnsi="Arial" w:cs="Arial"/>
          <w:color w:val="000000"/>
          <w:kern w:val="0"/>
          <w:sz w:val="24"/>
          <w:szCs w:val="24"/>
        </w:rPr>
        <w:t>her concerns around the</w:t>
      </w:r>
      <w:r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global challenge, </w:t>
      </w:r>
      <w:r w:rsidR="006D3E86" w:rsidRPr="00827B3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Ms Seema Arora, Deputy Director General, Confederation of Indian Industry, </w:t>
      </w:r>
      <w:r w:rsidR="006751D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suggested that </w:t>
      </w:r>
      <w:r w:rsidR="00433183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while Industry is taking steps, </w:t>
      </w:r>
      <w:r w:rsidR="00B20454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there’s </w:t>
      </w:r>
      <w:r w:rsidR="0081479B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need </w:t>
      </w:r>
      <w:r w:rsidR="00B20454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for 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>accelerated action</w:t>
      </w:r>
      <w:r w:rsidR="00B20454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by all now</w:t>
      </w:r>
      <w:r w:rsidR="00FA2806">
        <w:rPr>
          <w:rFonts w:ascii="Arial" w:eastAsia="Times New Roman" w:hAnsi="Arial" w:cs="Arial"/>
          <w:color w:val="000000"/>
          <w:kern w:val="0"/>
          <w:sz w:val="24"/>
          <w:szCs w:val="24"/>
        </w:rPr>
        <w:t>.</w:t>
      </w:r>
      <w:r w:rsidR="0081479B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r w:rsidR="00433183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Talking about the award, she </w:t>
      </w:r>
      <w:r w:rsidR="00B20454">
        <w:rPr>
          <w:rFonts w:ascii="Arial" w:eastAsia="Times New Roman" w:hAnsi="Arial" w:cs="Arial"/>
          <w:color w:val="000000"/>
          <w:kern w:val="0"/>
          <w:sz w:val="24"/>
          <w:szCs w:val="24"/>
        </w:rPr>
        <w:t>shared</w:t>
      </w:r>
      <w:r w:rsidR="00433183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that </w:t>
      </w:r>
      <w:r w:rsidR="002D615B">
        <w:rPr>
          <w:rFonts w:ascii="Arial" w:eastAsia="Times New Roman" w:hAnsi="Arial" w:cs="Arial"/>
          <w:color w:val="000000"/>
          <w:kern w:val="0"/>
          <w:sz w:val="24"/>
          <w:szCs w:val="24"/>
        </w:rPr>
        <w:t>it</w:t>
      </w:r>
      <w:r w:rsidR="0081479B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recogniz</w:t>
      </w:r>
      <w:r w:rsidR="00E4499D">
        <w:rPr>
          <w:rFonts w:ascii="Arial" w:eastAsia="Times New Roman" w:hAnsi="Arial" w:cs="Arial"/>
          <w:color w:val="000000"/>
          <w:kern w:val="0"/>
          <w:sz w:val="24"/>
          <w:szCs w:val="24"/>
        </w:rPr>
        <w:t>es</w:t>
      </w:r>
      <w:r w:rsidR="0081479B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companies who </w:t>
      </w:r>
      <w:r w:rsidR="00FA2806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have gone 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beyond what </w:t>
      </w:r>
      <w:r w:rsidR="00FA2806">
        <w:rPr>
          <w:rFonts w:ascii="Arial" w:eastAsia="Times New Roman" w:hAnsi="Arial" w:cs="Arial"/>
          <w:color w:val="000000"/>
          <w:kern w:val="0"/>
          <w:sz w:val="24"/>
          <w:szCs w:val="24"/>
        </w:rPr>
        <w:t>has been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asked of India</w:t>
      </w:r>
      <w:r w:rsidR="00B20454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through their climate actions</w:t>
      </w:r>
      <w:r w:rsidR="006751D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. </w:t>
      </w:r>
      <w:r w:rsidR="00FA2806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She added that the award 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spotlights not </w:t>
      </w:r>
      <w:r w:rsidR="0033300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just 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the risks </w:t>
      </w:r>
      <w:r w:rsidR="0033300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for companies 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>but also the opportunities where early</w:t>
      </w:r>
      <w:r w:rsidR="006751D2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>action</w:t>
      </w:r>
      <w:r w:rsidR="0033300E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can be taken</w:t>
      </w:r>
      <w:r w:rsidR="001C0C69" w:rsidRPr="001C0C69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. </w:t>
      </w:r>
      <w:r w:rsidR="007329E5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Calling </w:t>
      </w:r>
      <w:r w:rsidR="00B20454">
        <w:rPr>
          <w:rFonts w:ascii="Arial" w:eastAsia="Times New Roman" w:hAnsi="Arial" w:cs="Arial"/>
          <w:color w:val="000000"/>
          <w:kern w:val="0"/>
          <w:sz w:val="24"/>
          <w:szCs w:val="24"/>
        </w:rPr>
        <w:t>on the winners</w:t>
      </w:r>
      <w:r w:rsidR="00D615ED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 </w:t>
      </w:r>
      <w:r w:rsidR="007329E5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to strengthen their climate </w:t>
      </w:r>
      <w:r w:rsidR="00D615ED">
        <w:rPr>
          <w:rFonts w:ascii="Arial" w:eastAsia="Times New Roman" w:hAnsi="Arial" w:cs="Arial"/>
          <w:color w:val="000000"/>
          <w:kern w:val="0"/>
          <w:sz w:val="24"/>
          <w:szCs w:val="24"/>
        </w:rPr>
        <w:t>initiatives</w:t>
      </w:r>
      <w:r w:rsidR="007329E5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, she </w:t>
      </w:r>
      <w:r w:rsidR="00D615ED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suggested that they can lead the Industry </w:t>
      </w:r>
      <w:r w:rsidR="00BA25F5">
        <w:rPr>
          <w:rFonts w:ascii="Arial" w:eastAsia="Times New Roman" w:hAnsi="Arial" w:cs="Arial"/>
          <w:color w:val="000000"/>
          <w:kern w:val="0"/>
          <w:sz w:val="24"/>
          <w:szCs w:val="24"/>
        </w:rPr>
        <w:t xml:space="preserve">by sharing about their solutions and best practices. </w:t>
      </w:r>
    </w:p>
    <w:p w14:paraId="1FFF820D" w14:textId="77777777" w:rsidR="00B8637F" w:rsidRDefault="00B8637F" w:rsidP="006D3E86">
      <w:pPr>
        <w:tabs>
          <w:tab w:val="left" w:pos="7910"/>
        </w:tabs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2977"/>
      </w:tblGrid>
      <w:tr w:rsidR="00085DBE" w:rsidRPr="00090718" w14:paraId="02F6CC17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7719DB72" w14:textId="77777777" w:rsidR="00085DBE" w:rsidRPr="00090718" w:rsidRDefault="00085DBE" w:rsidP="00D300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n-IN"/>
              </w:rPr>
            </w:pPr>
            <w:r w:rsidRPr="00090718">
              <w:rPr>
                <w:rFonts w:eastAsia="Times New Roman" w:cs="Calibri"/>
                <w:b/>
                <w:bCs/>
                <w:lang w:eastAsia="en-IN"/>
              </w:rPr>
              <w:t>S.No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04A511" w14:textId="39B9C646" w:rsidR="00085DBE" w:rsidRPr="00090718" w:rsidRDefault="00F96E65" w:rsidP="00D300A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en-I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Organisations</w:t>
            </w:r>
            <w:r w:rsidRPr="00827B3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Recognised with </w:t>
            </w:r>
            <w:r w:rsidR="004F611F" w:rsidRPr="00827B3E">
              <w:rPr>
                <w:rFonts w:ascii="Arial" w:hAnsi="Arial" w:cs="Arial"/>
                <w:b/>
                <w:sz w:val="24"/>
                <w:szCs w:val="24"/>
              </w:rPr>
              <w:t>CAP 2.0°</w:t>
            </w:r>
            <w:r w:rsidR="004F611F">
              <w:rPr>
                <w:rFonts w:ascii="Arial" w:hAnsi="Arial" w:cs="Arial"/>
                <w:b/>
                <w:sz w:val="24"/>
                <w:szCs w:val="24"/>
              </w:rPr>
              <w:t xml:space="preserve"> Award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3D525E" w14:textId="77777777" w:rsidR="00085DBE" w:rsidRPr="00F96E65" w:rsidRDefault="00085DBE" w:rsidP="00D30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F96E6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>Sector</w:t>
            </w:r>
          </w:p>
        </w:tc>
      </w:tr>
      <w:tr w:rsidR="00085DBE" w:rsidRPr="00090718" w14:paraId="2EBC9188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51003F95" w14:textId="77777777" w:rsidR="00085DBE" w:rsidRPr="00A56CCB" w:rsidRDefault="00085DBE" w:rsidP="00D300A4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1941DF0" w14:textId="77777777" w:rsidR="00085DBE" w:rsidRPr="00A56CCB" w:rsidRDefault="00085DBE" w:rsidP="00D300A4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Adani Energy Solutions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4D2C64" w14:textId="24491EF6" w:rsidR="00085DBE" w:rsidRPr="00A56CCB" w:rsidRDefault="00085DBE" w:rsidP="00D300A4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 w:rsidR="00914E21"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 w:rsidR="00914E21"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 w:rsidR="00914E21"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 w:rsidR="00914E21"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1A5F38C0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1327E16E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2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BFFF653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ReNew Energy Global PLC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599C54A" w14:textId="5CEA490E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66600A67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5210E24F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CC6D241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Tata Steel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7CF47C" w14:textId="683EF3FB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71336385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0D7BF6E0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67BAA09A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Shree Cement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B01ABE" w14:textId="6460E513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4B6F2CC4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5B7DDB1A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64B62F8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Amara Raja Energy &amp; Mobility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207480" w14:textId="3C8B5A41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494DF9D2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03152829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DB24EE9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Dr. Reddy’s Laboratories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C8A2C52" w14:textId="7DDDD8FE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Light Manufacturing</w:t>
            </w:r>
          </w:p>
        </w:tc>
      </w:tr>
      <w:tr w:rsidR="00914E21" w:rsidRPr="00090718" w14:paraId="64526A2F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4F75B778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20C49B0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Godrej Consumer Products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73CFA2" w14:textId="1EC9EC06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Light Manufacturing</w:t>
            </w:r>
          </w:p>
        </w:tc>
      </w:tr>
      <w:tr w:rsidR="00914E21" w:rsidRPr="00090718" w14:paraId="468C737F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48C0852F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CC23C6F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J K Cement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295386D" w14:textId="5E2D0C9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3A598ACC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1537B98A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15D593EA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DP World (Subcontinent)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983500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Infrastructure</w:t>
            </w:r>
          </w:p>
        </w:tc>
      </w:tr>
      <w:tr w:rsidR="00914E21" w:rsidRPr="00090718" w14:paraId="651EA790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182E77EC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</w:t>
            </w:r>
            <w:r>
              <w:rPr>
                <w:rFonts w:eastAsia="Times New Roman" w:cs="Calibri"/>
                <w:lang w:eastAsia="en-IN"/>
              </w:rPr>
              <w:t>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9BB5AF9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Godrej Industries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9DCBD0" w14:textId="72252273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Light Manufacturing</w:t>
            </w:r>
          </w:p>
        </w:tc>
      </w:tr>
      <w:tr w:rsidR="00914E21" w:rsidRPr="00090718" w14:paraId="70674CA2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640F3805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</w:t>
            </w:r>
            <w:r>
              <w:rPr>
                <w:rFonts w:eastAsia="Times New Roman" w:cs="Calibri"/>
                <w:lang w:eastAsia="en-IN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36E5098F" w14:textId="77777777" w:rsidR="00914E21" w:rsidRPr="00E12975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val="it-IT" w:eastAsia="en-IN"/>
              </w:rPr>
            </w:pPr>
            <w:r w:rsidRPr="00E12975">
              <w:rPr>
                <w:rFonts w:eastAsia="Times New Roman" w:cs="Calibri"/>
                <w:lang w:val="it-IT" w:eastAsia="en-IN"/>
              </w:rPr>
              <w:t>Shesh Enviro Infra Private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AC8274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Service</w:t>
            </w:r>
          </w:p>
        </w:tc>
      </w:tr>
      <w:tr w:rsidR="00914E21" w:rsidRPr="00090718" w14:paraId="7A4E4D4B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</w:tcPr>
          <w:p w14:paraId="45F3DCAF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12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660CE7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ArcelorMittal Nippon Steel India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09BFE6" w14:textId="12A86C61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53508A38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28F83567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13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5256D55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Bharat Petroleum Corporation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7E04992" w14:textId="4EC51E3B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298C717F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53D36D12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14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10C2680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Tata Motors Dharwad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A2DE9F8" w14:textId="28D44481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Light Manufacturing</w:t>
            </w:r>
          </w:p>
        </w:tc>
      </w:tr>
      <w:tr w:rsidR="00914E21" w:rsidRPr="00090718" w14:paraId="39EDB19B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0BEAE89C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15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4DEA697C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Godrej Properties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DD9875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Infrastructure</w:t>
            </w:r>
          </w:p>
        </w:tc>
      </w:tr>
      <w:tr w:rsidR="00914E21" w:rsidRPr="00090718" w14:paraId="748F00CD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6EC36351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16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58C61CBA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 xml:space="preserve">JSW Cement Limited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48E09D" w14:textId="70ABE506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  <w:tr w:rsidR="00914E21" w:rsidRPr="00090718" w14:paraId="461E6809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2D1EB933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17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0EB3B5C4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TATA Power Delhi Distribution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50EAAF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Service</w:t>
            </w:r>
          </w:p>
        </w:tc>
      </w:tr>
      <w:tr w:rsidR="00914E21" w:rsidRPr="00090718" w14:paraId="5955B9E6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1789F15F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lastRenderedPageBreak/>
              <w:t>18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1FD83A9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Godrej Agrovet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B09C13" w14:textId="151D44F0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Light Manufacturing</w:t>
            </w:r>
          </w:p>
        </w:tc>
      </w:tr>
      <w:tr w:rsidR="00914E21" w:rsidRPr="00090718" w14:paraId="668DEEDA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48C99AB3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19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940AAC7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Adani Total Gas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E487C2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Service</w:t>
            </w:r>
          </w:p>
        </w:tc>
      </w:tr>
      <w:tr w:rsidR="00914E21" w:rsidRPr="00090718" w14:paraId="412D738F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  <w:hideMark/>
          </w:tcPr>
          <w:p w14:paraId="6E111BDA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20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2166614D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Versa Drives Private 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AF780C" w14:textId="300EFAA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Light Manufacturing</w:t>
            </w:r>
          </w:p>
        </w:tc>
      </w:tr>
      <w:tr w:rsidR="00914E21" w:rsidRPr="00090718" w14:paraId="4288B7A9" w14:textId="77777777" w:rsidTr="00085DBE">
        <w:trPr>
          <w:trHeight w:val="730"/>
        </w:trPr>
        <w:tc>
          <w:tcPr>
            <w:tcW w:w="704" w:type="dxa"/>
            <w:shd w:val="clear" w:color="auto" w:fill="auto"/>
            <w:vAlign w:val="center"/>
          </w:tcPr>
          <w:p w14:paraId="07B708DF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>
              <w:rPr>
                <w:rFonts w:eastAsia="Times New Roman" w:cs="Calibri"/>
                <w:lang w:eastAsia="en-IN"/>
              </w:rPr>
              <w:t>21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3DC1746" w14:textId="77777777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CC68D5">
              <w:rPr>
                <w:rFonts w:eastAsia="Times New Roman" w:cs="Calibri"/>
                <w:lang w:eastAsia="en-IN"/>
              </w:rPr>
              <w:t xml:space="preserve">Attero Recycling Pvt </w:t>
            </w:r>
            <w:r w:rsidRPr="00A56CCB">
              <w:rPr>
                <w:rFonts w:eastAsia="Times New Roman" w:cs="Calibri"/>
                <w:lang w:eastAsia="en-IN"/>
              </w:rPr>
              <w:t>Limited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759E1C" w14:textId="1FDD0C6A" w:rsidR="00914E21" w:rsidRPr="00A56CCB" w:rsidRDefault="00914E21" w:rsidP="00914E21">
            <w:pPr>
              <w:spacing w:after="0" w:line="240" w:lineRule="auto"/>
              <w:jc w:val="center"/>
              <w:rPr>
                <w:rFonts w:eastAsia="Times New Roman" w:cs="Calibri"/>
                <w:lang w:eastAsia="en-IN"/>
              </w:rPr>
            </w:pPr>
            <w:r w:rsidRPr="00A56CCB">
              <w:rPr>
                <w:rFonts w:eastAsia="Times New Roman" w:cs="Calibri"/>
                <w:lang w:eastAsia="en-IN"/>
              </w:rPr>
              <w:t>E</w:t>
            </w:r>
            <w:r>
              <w:rPr>
                <w:rFonts w:eastAsia="Times New Roman" w:cs="Calibri"/>
                <w:lang w:eastAsia="en-IN"/>
              </w:rPr>
              <w:t xml:space="preserve">nergy,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 xml:space="preserve">ining and </w:t>
            </w:r>
            <w:r w:rsidRPr="00A56CCB">
              <w:rPr>
                <w:rFonts w:eastAsia="Times New Roman" w:cs="Calibri"/>
                <w:lang w:eastAsia="en-IN"/>
              </w:rPr>
              <w:t>H</w:t>
            </w:r>
            <w:r>
              <w:rPr>
                <w:rFonts w:eastAsia="Times New Roman" w:cs="Calibri"/>
                <w:lang w:eastAsia="en-IN"/>
              </w:rPr>
              <w:t xml:space="preserve">eavy </w:t>
            </w:r>
            <w:r w:rsidRPr="00A56CCB">
              <w:rPr>
                <w:rFonts w:eastAsia="Times New Roman" w:cs="Calibri"/>
                <w:lang w:eastAsia="en-IN"/>
              </w:rPr>
              <w:t>M</w:t>
            </w:r>
            <w:r>
              <w:rPr>
                <w:rFonts w:eastAsia="Times New Roman" w:cs="Calibri"/>
                <w:lang w:eastAsia="en-IN"/>
              </w:rPr>
              <w:t>anufacturing</w:t>
            </w:r>
          </w:p>
        </w:tc>
      </w:tr>
    </w:tbl>
    <w:p w14:paraId="799F80B7" w14:textId="77777777" w:rsidR="00267A83" w:rsidRPr="00827B3E" w:rsidRDefault="00267A83" w:rsidP="006D3E86">
      <w:pPr>
        <w:tabs>
          <w:tab w:val="left" w:pos="7910"/>
        </w:tabs>
        <w:rPr>
          <w:rFonts w:ascii="Arial" w:eastAsia="Times New Roman" w:hAnsi="Arial" w:cs="Arial"/>
          <w:color w:val="000000"/>
          <w:kern w:val="0"/>
          <w:sz w:val="24"/>
          <w:szCs w:val="24"/>
        </w:rPr>
      </w:pPr>
    </w:p>
    <w:p w14:paraId="6E642885" w14:textId="77777777" w:rsidR="00B253EA" w:rsidRDefault="00B253EA" w:rsidP="006D3E86">
      <w:pPr>
        <w:spacing w:before="100" w:beforeAutospacing="1" w:after="100" w:afterAutospacing="1" w:line="270" w:lineRule="atLeast"/>
        <w:ind w:right="288"/>
        <w:jc w:val="both"/>
        <w:rPr>
          <w:rFonts w:ascii="Arial" w:hAnsi="Arial" w:cs="Arial"/>
          <w:b/>
          <w:sz w:val="24"/>
          <w:szCs w:val="24"/>
        </w:rPr>
      </w:pPr>
      <w:r w:rsidRPr="00B253EA">
        <w:rPr>
          <w:rFonts w:ascii="Arial" w:eastAsia="Times New Roman" w:hAnsi="Arial" w:cs="Arial"/>
          <w:b/>
          <w:bCs/>
          <w:sz w:val="24"/>
          <w:szCs w:val="24"/>
        </w:rPr>
        <w:t>About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827B3E">
        <w:rPr>
          <w:rFonts w:ascii="Arial" w:hAnsi="Arial" w:cs="Arial"/>
          <w:b/>
          <w:sz w:val="24"/>
          <w:szCs w:val="24"/>
        </w:rPr>
        <w:t xml:space="preserve">Climate Action Awards (CAP 2.0°) </w:t>
      </w:r>
    </w:p>
    <w:p w14:paraId="7301E334" w14:textId="7C23950E" w:rsidR="006D3E86" w:rsidRPr="00827B3E" w:rsidRDefault="006D3E86" w:rsidP="00E7410E">
      <w:pPr>
        <w:spacing w:before="100" w:beforeAutospacing="1" w:after="100" w:afterAutospacing="1" w:line="270" w:lineRule="atLeast"/>
        <w:ind w:right="288"/>
        <w:jc w:val="both"/>
        <w:rPr>
          <w:rFonts w:ascii="Arial" w:eastAsia="Times New Roman" w:hAnsi="Arial" w:cs="Arial"/>
          <w:sz w:val="24"/>
          <w:szCs w:val="24"/>
        </w:rPr>
      </w:pPr>
      <w:r w:rsidRPr="00827B3E">
        <w:rPr>
          <w:rFonts w:ascii="Arial" w:eastAsia="Times New Roman" w:hAnsi="Arial" w:cs="Arial"/>
          <w:sz w:val="24"/>
          <w:szCs w:val="24"/>
        </w:rPr>
        <w:t>The Climate Action Programme (CAP) 2.0°,</w:t>
      </w:r>
      <w:r w:rsidR="00F257A1">
        <w:rPr>
          <w:rFonts w:ascii="Arial" w:eastAsia="Times New Roman" w:hAnsi="Arial" w:cs="Arial"/>
          <w:sz w:val="24"/>
          <w:szCs w:val="24"/>
        </w:rPr>
        <w:t xml:space="preserve"> is</w:t>
      </w:r>
      <w:r w:rsidRPr="00827B3E">
        <w:rPr>
          <w:rFonts w:ascii="Arial" w:eastAsia="Times New Roman" w:hAnsi="Arial" w:cs="Arial"/>
          <w:sz w:val="24"/>
          <w:szCs w:val="24"/>
        </w:rPr>
        <w:t xml:space="preserve"> a </w:t>
      </w:r>
      <w:r w:rsidR="004B6769">
        <w:rPr>
          <w:rFonts w:ascii="Arial" w:eastAsia="Times New Roman" w:hAnsi="Arial" w:cs="Arial"/>
          <w:sz w:val="24"/>
          <w:szCs w:val="24"/>
        </w:rPr>
        <w:t xml:space="preserve">corporate </w:t>
      </w:r>
      <w:r w:rsidRPr="00827B3E">
        <w:rPr>
          <w:rFonts w:ascii="Arial" w:eastAsia="Times New Roman" w:hAnsi="Arial" w:cs="Arial"/>
          <w:sz w:val="24"/>
          <w:szCs w:val="24"/>
        </w:rPr>
        <w:t>recognition programme</w:t>
      </w:r>
      <w:r w:rsidR="00EB4519">
        <w:rPr>
          <w:rFonts w:ascii="Arial" w:eastAsia="Times New Roman" w:hAnsi="Arial" w:cs="Arial"/>
          <w:sz w:val="24"/>
          <w:szCs w:val="24"/>
        </w:rPr>
        <w:t>. Through this programme, CII</w:t>
      </w:r>
      <w:r w:rsidRPr="00827B3E">
        <w:rPr>
          <w:rFonts w:ascii="Arial" w:eastAsia="Times New Roman" w:hAnsi="Arial" w:cs="Arial"/>
          <w:sz w:val="24"/>
          <w:szCs w:val="24"/>
        </w:rPr>
        <w:t xml:space="preserve"> recogni</w:t>
      </w:r>
      <w:r w:rsidR="00EB4519">
        <w:rPr>
          <w:rFonts w:ascii="Arial" w:eastAsia="Times New Roman" w:hAnsi="Arial" w:cs="Arial"/>
          <w:sz w:val="24"/>
          <w:szCs w:val="24"/>
        </w:rPr>
        <w:t>ses</w:t>
      </w:r>
      <w:r w:rsidRPr="00827B3E">
        <w:rPr>
          <w:rFonts w:ascii="Arial" w:eastAsia="Times New Roman" w:hAnsi="Arial" w:cs="Arial"/>
          <w:sz w:val="24"/>
          <w:szCs w:val="24"/>
        </w:rPr>
        <w:t xml:space="preserve"> </w:t>
      </w:r>
      <w:r w:rsidR="00B30737">
        <w:rPr>
          <w:rFonts w:ascii="Arial" w:eastAsia="Times New Roman" w:hAnsi="Arial" w:cs="Arial"/>
          <w:sz w:val="24"/>
          <w:szCs w:val="24"/>
        </w:rPr>
        <w:t xml:space="preserve">the </w:t>
      </w:r>
      <w:r w:rsidRPr="00827B3E">
        <w:rPr>
          <w:rFonts w:ascii="Arial" w:eastAsia="Times New Roman" w:hAnsi="Arial" w:cs="Arial"/>
          <w:sz w:val="24"/>
          <w:szCs w:val="24"/>
        </w:rPr>
        <w:t xml:space="preserve">business actions </w:t>
      </w:r>
      <w:r w:rsidR="00B30737">
        <w:rPr>
          <w:rFonts w:ascii="Arial" w:eastAsia="Times New Roman" w:hAnsi="Arial" w:cs="Arial"/>
          <w:sz w:val="24"/>
          <w:szCs w:val="24"/>
        </w:rPr>
        <w:t xml:space="preserve">taken by </w:t>
      </w:r>
      <w:r w:rsidR="009C0975">
        <w:rPr>
          <w:rFonts w:ascii="Arial" w:eastAsia="Times New Roman" w:hAnsi="Arial" w:cs="Arial"/>
          <w:sz w:val="24"/>
          <w:szCs w:val="24"/>
        </w:rPr>
        <w:t xml:space="preserve">organisations to </w:t>
      </w:r>
      <w:r w:rsidRPr="00827B3E">
        <w:rPr>
          <w:rFonts w:ascii="Arial" w:eastAsia="Times New Roman" w:hAnsi="Arial" w:cs="Arial"/>
          <w:sz w:val="24"/>
          <w:szCs w:val="24"/>
        </w:rPr>
        <w:t>combat climate change</w:t>
      </w:r>
      <w:r w:rsidR="009C0975">
        <w:rPr>
          <w:rFonts w:ascii="Arial" w:eastAsia="Times New Roman" w:hAnsi="Arial" w:cs="Arial"/>
          <w:sz w:val="24"/>
          <w:szCs w:val="24"/>
        </w:rPr>
        <w:t xml:space="preserve">. It </w:t>
      </w:r>
      <w:r w:rsidRPr="00827B3E">
        <w:rPr>
          <w:rFonts w:ascii="Arial" w:eastAsia="Times New Roman" w:hAnsi="Arial" w:cs="Arial"/>
          <w:sz w:val="24"/>
          <w:szCs w:val="24"/>
        </w:rPr>
        <w:t>was introduced by CII in 2018</w:t>
      </w:r>
      <w:r w:rsidR="00BF2664">
        <w:rPr>
          <w:rFonts w:ascii="Arial" w:eastAsia="Times New Roman" w:hAnsi="Arial" w:cs="Arial"/>
          <w:sz w:val="24"/>
          <w:szCs w:val="24"/>
        </w:rPr>
        <w:t xml:space="preserve"> and </w:t>
      </w:r>
      <w:r w:rsidR="00064030">
        <w:rPr>
          <w:rFonts w:ascii="Arial" w:eastAsia="Times New Roman" w:hAnsi="Arial" w:cs="Arial"/>
          <w:sz w:val="24"/>
          <w:szCs w:val="24"/>
        </w:rPr>
        <w:t xml:space="preserve">till date, </w:t>
      </w:r>
      <w:r w:rsidR="00C82873">
        <w:rPr>
          <w:rFonts w:ascii="Arial" w:eastAsia="Times New Roman" w:hAnsi="Arial" w:cs="Arial"/>
          <w:sz w:val="24"/>
          <w:szCs w:val="24"/>
        </w:rPr>
        <w:t>1</w:t>
      </w:r>
      <w:r w:rsidR="00D8500F">
        <w:rPr>
          <w:rFonts w:ascii="Arial" w:eastAsia="Times New Roman" w:hAnsi="Arial" w:cs="Arial"/>
          <w:sz w:val="24"/>
          <w:szCs w:val="24"/>
        </w:rPr>
        <w:t>1</w:t>
      </w:r>
      <w:r w:rsidR="00C82873">
        <w:rPr>
          <w:rFonts w:ascii="Arial" w:eastAsia="Times New Roman" w:hAnsi="Arial" w:cs="Arial"/>
          <w:sz w:val="24"/>
          <w:szCs w:val="24"/>
        </w:rPr>
        <w:t>0</w:t>
      </w:r>
      <w:r w:rsidR="00D8500F">
        <w:rPr>
          <w:rFonts w:ascii="Arial" w:eastAsia="Times New Roman" w:hAnsi="Arial" w:cs="Arial"/>
          <w:sz w:val="24"/>
          <w:szCs w:val="24"/>
        </w:rPr>
        <w:t>+</w:t>
      </w:r>
      <w:r w:rsidR="00C82873">
        <w:rPr>
          <w:rFonts w:ascii="Arial" w:eastAsia="Times New Roman" w:hAnsi="Arial" w:cs="Arial"/>
          <w:sz w:val="24"/>
          <w:szCs w:val="24"/>
        </w:rPr>
        <w:t xml:space="preserve"> </w:t>
      </w:r>
      <w:r w:rsidR="006A0427">
        <w:rPr>
          <w:rFonts w:ascii="Arial" w:eastAsia="Times New Roman" w:hAnsi="Arial" w:cs="Arial"/>
          <w:sz w:val="24"/>
          <w:szCs w:val="24"/>
        </w:rPr>
        <w:t xml:space="preserve">corporate applications </w:t>
      </w:r>
      <w:r w:rsidR="00646B55">
        <w:rPr>
          <w:rFonts w:ascii="Arial" w:eastAsia="Times New Roman" w:hAnsi="Arial" w:cs="Arial"/>
          <w:sz w:val="24"/>
          <w:szCs w:val="24"/>
        </w:rPr>
        <w:t xml:space="preserve">have been received </w:t>
      </w:r>
      <w:r w:rsidR="006A0427">
        <w:rPr>
          <w:rFonts w:ascii="Arial" w:eastAsia="Times New Roman" w:hAnsi="Arial" w:cs="Arial"/>
          <w:sz w:val="24"/>
          <w:szCs w:val="24"/>
        </w:rPr>
        <w:t>for the award</w:t>
      </w:r>
      <w:r w:rsidR="00646B55">
        <w:rPr>
          <w:rFonts w:ascii="Arial" w:eastAsia="Times New Roman" w:hAnsi="Arial" w:cs="Arial"/>
          <w:sz w:val="24"/>
          <w:szCs w:val="24"/>
        </w:rPr>
        <w:t xml:space="preserve">. </w:t>
      </w:r>
      <w:r w:rsidR="00BF5CB8">
        <w:rPr>
          <w:rFonts w:ascii="Arial" w:eastAsia="Times New Roman" w:hAnsi="Arial" w:cs="Arial"/>
          <w:sz w:val="24"/>
          <w:szCs w:val="24"/>
        </w:rPr>
        <w:t>More than</w:t>
      </w:r>
      <w:r w:rsidR="006A0427">
        <w:rPr>
          <w:rFonts w:ascii="Arial" w:eastAsia="Times New Roman" w:hAnsi="Arial" w:cs="Arial"/>
          <w:sz w:val="24"/>
          <w:szCs w:val="24"/>
        </w:rPr>
        <w:t xml:space="preserve"> </w:t>
      </w:r>
      <w:r w:rsidR="00E7410E">
        <w:rPr>
          <w:rFonts w:ascii="Arial" w:eastAsia="Times New Roman" w:hAnsi="Arial" w:cs="Arial"/>
          <w:sz w:val="24"/>
          <w:szCs w:val="24"/>
        </w:rPr>
        <w:t xml:space="preserve">60 </w:t>
      </w:r>
      <w:r w:rsidR="00646B55">
        <w:rPr>
          <w:rFonts w:ascii="Arial" w:eastAsia="Times New Roman" w:hAnsi="Arial" w:cs="Arial"/>
          <w:sz w:val="24"/>
          <w:szCs w:val="24"/>
        </w:rPr>
        <w:t xml:space="preserve">organisations </w:t>
      </w:r>
      <w:r w:rsidR="00E7410E">
        <w:rPr>
          <w:rFonts w:ascii="Arial" w:eastAsia="Times New Roman" w:hAnsi="Arial" w:cs="Arial"/>
          <w:sz w:val="24"/>
          <w:szCs w:val="24"/>
        </w:rPr>
        <w:t>have been recognised</w:t>
      </w:r>
      <w:r w:rsidR="00BF5CB8">
        <w:rPr>
          <w:rFonts w:ascii="Arial" w:eastAsia="Times New Roman" w:hAnsi="Arial" w:cs="Arial"/>
          <w:sz w:val="24"/>
          <w:szCs w:val="24"/>
        </w:rPr>
        <w:t xml:space="preserve"> for their best practices</w:t>
      </w:r>
      <w:r w:rsidR="00E7410E">
        <w:rPr>
          <w:rFonts w:ascii="Arial" w:eastAsia="Times New Roman" w:hAnsi="Arial" w:cs="Arial"/>
          <w:sz w:val="24"/>
          <w:szCs w:val="24"/>
        </w:rPr>
        <w:t xml:space="preserve">. </w:t>
      </w:r>
      <w:r w:rsidRPr="00827B3E">
        <w:rPr>
          <w:rFonts w:ascii="Arial" w:eastAsia="Times New Roman" w:hAnsi="Arial" w:cs="Arial"/>
          <w:sz w:val="24"/>
          <w:szCs w:val="24"/>
        </w:rPr>
        <w:t xml:space="preserve">The applicants underwent a rigorous evaluation process that included on-site assessment by CII-certified assessors. Spread over a period of </w:t>
      </w:r>
      <w:r w:rsidR="00987939">
        <w:rPr>
          <w:rFonts w:ascii="Arial" w:eastAsia="Times New Roman" w:hAnsi="Arial" w:cs="Arial"/>
          <w:sz w:val="24"/>
          <w:szCs w:val="24"/>
        </w:rPr>
        <w:t>five</w:t>
      </w:r>
      <w:r w:rsidRPr="00827B3E">
        <w:rPr>
          <w:rFonts w:ascii="Arial" w:eastAsia="Times New Roman" w:hAnsi="Arial" w:cs="Arial"/>
          <w:sz w:val="24"/>
          <w:szCs w:val="24"/>
        </w:rPr>
        <w:t xml:space="preserve"> months, each application was assessed methodically (nearly 700 man-hours per application) and the final list of awardee</w:t>
      </w:r>
      <w:r w:rsidR="000C27EC">
        <w:rPr>
          <w:rFonts w:ascii="Arial" w:eastAsia="Times New Roman" w:hAnsi="Arial" w:cs="Arial"/>
          <w:sz w:val="24"/>
          <w:szCs w:val="24"/>
        </w:rPr>
        <w:t>s</w:t>
      </w:r>
      <w:r w:rsidRPr="00827B3E">
        <w:rPr>
          <w:rFonts w:ascii="Arial" w:eastAsia="Times New Roman" w:hAnsi="Arial" w:cs="Arial"/>
          <w:sz w:val="24"/>
          <w:szCs w:val="24"/>
        </w:rPr>
        <w:t xml:space="preserve"> was validated by a distinguished Jury comprising of representatives from the Government, Civil Society and Academia.</w:t>
      </w:r>
      <w:r w:rsidR="00E7410E">
        <w:rPr>
          <w:rFonts w:ascii="Arial" w:eastAsia="Times New Roman" w:hAnsi="Arial" w:cs="Arial"/>
          <w:sz w:val="24"/>
          <w:szCs w:val="24"/>
        </w:rPr>
        <w:t xml:space="preserve"> </w:t>
      </w:r>
      <w:r w:rsidRPr="00827B3E">
        <w:rPr>
          <w:rFonts w:ascii="Arial" w:eastAsia="Times New Roman" w:hAnsi="Arial" w:cs="Arial"/>
          <w:sz w:val="24"/>
          <w:szCs w:val="24"/>
        </w:rPr>
        <w:t xml:space="preserve">To </w:t>
      </w:r>
      <w:r w:rsidR="000C27EC">
        <w:rPr>
          <w:rFonts w:ascii="Arial" w:eastAsia="Times New Roman" w:hAnsi="Arial" w:cs="Arial"/>
          <w:sz w:val="24"/>
          <w:szCs w:val="24"/>
        </w:rPr>
        <w:t>find out</w:t>
      </w:r>
      <w:r w:rsidRPr="00827B3E">
        <w:rPr>
          <w:rFonts w:ascii="Arial" w:eastAsia="Times New Roman" w:hAnsi="Arial" w:cs="Arial"/>
          <w:sz w:val="24"/>
          <w:szCs w:val="24"/>
        </w:rPr>
        <w:t xml:space="preserve"> more about the </w:t>
      </w:r>
      <w:r w:rsidRPr="00827B3E">
        <w:rPr>
          <w:rFonts w:ascii="Arial" w:hAnsi="Arial" w:cs="Arial"/>
          <w:b/>
          <w:sz w:val="24"/>
          <w:szCs w:val="24"/>
        </w:rPr>
        <w:t xml:space="preserve">Climate Action Awards (CAP 2.0°) </w:t>
      </w:r>
      <w:r w:rsidRPr="00827B3E">
        <w:rPr>
          <w:rFonts w:ascii="Arial" w:hAnsi="Arial" w:cs="Arial"/>
          <w:bCs/>
          <w:sz w:val="24"/>
          <w:szCs w:val="24"/>
        </w:rPr>
        <w:t>please visit</w:t>
      </w:r>
      <w:r w:rsidR="001A0567">
        <w:rPr>
          <w:rFonts w:ascii="Arial" w:hAnsi="Arial" w:cs="Arial"/>
          <w:bCs/>
          <w:sz w:val="24"/>
          <w:szCs w:val="24"/>
        </w:rPr>
        <w:t xml:space="preserve"> </w:t>
      </w:r>
      <w:hyperlink r:id="rId6" w:history="1">
        <w:r w:rsidR="001A0567" w:rsidRPr="00984CB7">
          <w:rPr>
            <w:rStyle w:val="Hyperlink"/>
            <w:rFonts w:ascii="Arial" w:hAnsi="Arial" w:cs="Arial"/>
            <w:bCs/>
            <w:sz w:val="24"/>
            <w:szCs w:val="24"/>
          </w:rPr>
          <w:t>https://sustainabledevelopment.in/brands/climate-action-programme/</w:t>
        </w:r>
      </w:hyperlink>
      <w:r w:rsidR="001A0567">
        <w:rPr>
          <w:rFonts w:ascii="Arial" w:hAnsi="Arial" w:cs="Arial"/>
          <w:bCs/>
          <w:sz w:val="24"/>
          <w:szCs w:val="24"/>
        </w:rPr>
        <w:t xml:space="preserve"> </w:t>
      </w:r>
    </w:p>
    <w:p w14:paraId="2355A2A4" w14:textId="77777777" w:rsidR="001653F4" w:rsidRDefault="001653F4" w:rsidP="006D3E86">
      <w:pPr>
        <w:spacing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41C27E1" w14:textId="19DE518E" w:rsidR="006D3E86" w:rsidRPr="00827B3E" w:rsidRDefault="006D3E86" w:rsidP="006D3E86">
      <w:pPr>
        <w:spacing w:line="276" w:lineRule="auto"/>
        <w:jc w:val="both"/>
        <w:rPr>
          <w:rFonts w:ascii="Arial" w:eastAsia="Times New Roman" w:hAnsi="Arial" w:cs="Arial"/>
          <w:color w:val="0D0C2A"/>
          <w:kern w:val="0"/>
          <w:sz w:val="24"/>
          <w:szCs w:val="24"/>
          <w:lang w:eastAsia="en-IN"/>
        </w:rPr>
      </w:pPr>
      <w:r w:rsidRPr="00827B3E">
        <w:rPr>
          <w:rFonts w:ascii="Arial" w:eastAsia="Times New Roman" w:hAnsi="Arial" w:cs="Arial"/>
          <w:sz w:val="24"/>
          <w:szCs w:val="24"/>
        </w:rPr>
        <w:t xml:space="preserve">NEW DELHI, </w:t>
      </w:r>
      <w:r w:rsidR="006223A5">
        <w:rPr>
          <w:rFonts w:ascii="Arial" w:eastAsia="Times New Roman" w:hAnsi="Arial" w:cs="Arial"/>
          <w:sz w:val="24"/>
          <w:szCs w:val="24"/>
        </w:rPr>
        <w:t xml:space="preserve">28 </w:t>
      </w:r>
      <w:r w:rsidRPr="00827B3E">
        <w:rPr>
          <w:rFonts w:ascii="Arial" w:eastAsia="Times New Roman" w:hAnsi="Arial" w:cs="Arial"/>
          <w:sz w:val="24"/>
          <w:szCs w:val="24"/>
        </w:rPr>
        <w:t>March 202</w:t>
      </w:r>
      <w:r w:rsidR="006223A5">
        <w:rPr>
          <w:rFonts w:ascii="Arial" w:eastAsia="Times New Roman" w:hAnsi="Arial" w:cs="Arial"/>
          <w:sz w:val="24"/>
          <w:szCs w:val="24"/>
        </w:rPr>
        <w:t>5</w:t>
      </w:r>
    </w:p>
    <w:p w14:paraId="5732CAD0" w14:textId="77777777" w:rsidR="006D3E86" w:rsidRPr="00827B3E" w:rsidRDefault="006D3E86" w:rsidP="006D3E86">
      <w:pPr>
        <w:pStyle w:val="paragraph"/>
        <w:ind w:right="288"/>
        <w:textAlignment w:val="baseline"/>
        <w:rPr>
          <w:rFonts w:ascii="Arial" w:eastAsia="Times New Roman" w:hAnsi="Arial" w:cs="Arial"/>
          <w:b/>
          <w:sz w:val="24"/>
          <w:szCs w:val="24"/>
          <w:lang w:val="en-US" w:eastAsia="en-US"/>
        </w:rPr>
      </w:pPr>
      <w:r w:rsidRPr="00827B3E">
        <w:rPr>
          <w:rFonts w:ascii="Arial" w:eastAsia="Times New Roman" w:hAnsi="Arial" w:cs="Arial"/>
          <w:b/>
          <w:sz w:val="24"/>
          <w:szCs w:val="24"/>
          <w:lang w:val="en-US" w:eastAsia="en-US"/>
        </w:rPr>
        <w:t>MEDIA CONTACT: </w:t>
      </w:r>
    </w:p>
    <w:p w14:paraId="529B72DD" w14:textId="77777777" w:rsidR="006D3E86" w:rsidRPr="00827B3E" w:rsidRDefault="006D3E86" w:rsidP="006D3E86">
      <w:pPr>
        <w:pStyle w:val="paragraph"/>
        <w:ind w:right="288"/>
        <w:textAlignment w:val="baseline"/>
        <w:rPr>
          <w:rFonts w:ascii="Arial" w:eastAsia="Times New Roman" w:hAnsi="Arial" w:cs="Arial"/>
          <w:b/>
          <w:sz w:val="24"/>
          <w:szCs w:val="24"/>
          <w:lang w:val="en-US" w:eastAsia="en-US"/>
        </w:rPr>
      </w:pPr>
    </w:p>
    <w:p w14:paraId="3092784E" w14:textId="77777777" w:rsidR="006D3E86" w:rsidRPr="00827B3E" w:rsidRDefault="006D3E86" w:rsidP="006D3E86">
      <w:pPr>
        <w:pStyle w:val="paragraph"/>
        <w:ind w:right="288"/>
        <w:textAlignment w:val="baseline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827B3E">
        <w:rPr>
          <w:rFonts w:ascii="Arial" w:eastAsia="Times New Roman" w:hAnsi="Arial" w:cs="Arial"/>
          <w:sz w:val="24"/>
          <w:szCs w:val="24"/>
          <w:lang w:val="en-US" w:eastAsia="en-US"/>
        </w:rPr>
        <w:t>Taresh Arora | </w:t>
      </w:r>
      <w:hyperlink r:id="rId7" w:tgtFrame="_blank" w:history="1">
        <w:r w:rsidRPr="00827B3E">
          <w:rPr>
            <w:rFonts w:ascii="Arial" w:eastAsia="Times New Roman" w:hAnsi="Arial" w:cs="Arial"/>
            <w:sz w:val="24"/>
            <w:szCs w:val="24"/>
            <w:lang w:val="en-US" w:eastAsia="en-US"/>
          </w:rPr>
          <w:t>taresh.arora@cii.in</w:t>
        </w:r>
      </w:hyperlink>
      <w:r w:rsidRPr="00827B3E">
        <w:rPr>
          <w:rFonts w:ascii="Arial" w:eastAsia="Times New Roman" w:hAnsi="Arial" w:cs="Arial"/>
          <w:sz w:val="24"/>
          <w:szCs w:val="24"/>
          <w:lang w:val="en-US" w:eastAsia="en-US"/>
        </w:rPr>
        <w:t>  9899115719 </w:t>
      </w:r>
    </w:p>
    <w:p w14:paraId="59BB00D1" w14:textId="77777777" w:rsidR="006E6EAF" w:rsidRDefault="006E6EAF" w:rsidP="006E6EAF"/>
    <w:sectPr w:rsidR="006E6EA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2EC6" w14:textId="77777777" w:rsidR="00EA2085" w:rsidRDefault="00EA2085" w:rsidP="006D3E86">
      <w:pPr>
        <w:spacing w:after="0" w:line="240" w:lineRule="auto"/>
      </w:pPr>
      <w:r>
        <w:separator/>
      </w:r>
    </w:p>
  </w:endnote>
  <w:endnote w:type="continuationSeparator" w:id="0">
    <w:p w14:paraId="794B27EC" w14:textId="77777777" w:rsidR="00EA2085" w:rsidRDefault="00EA2085" w:rsidP="006D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3A91" w14:textId="77777777" w:rsidR="00EA2085" w:rsidRDefault="00EA2085" w:rsidP="006D3E86">
      <w:pPr>
        <w:spacing w:after="0" w:line="240" w:lineRule="auto"/>
      </w:pPr>
      <w:r>
        <w:separator/>
      </w:r>
    </w:p>
  </w:footnote>
  <w:footnote w:type="continuationSeparator" w:id="0">
    <w:p w14:paraId="1FA01A61" w14:textId="77777777" w:rsidR="00EA2085" w:rsidRDefault="00EA2085" w:rsidP="006D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C2FB" w14:textId="2AC4B497" w:rsidR="006D3E86" w:rsidRDefault="006D3E86">
    <w:pPr>
      <w:pStyle w:val="Header"/>
    </w:pPr>
    <w:r w:rsidRPr="00064040">
      <w:rPr>
        <w:noProof/>
      </w:rPr>
      <w:drawing>
        <wp:anchor distT="0" distB="0" distL="114300" distR="114300" simplePos="0" relativeHeight="251658240" behindDoc="0" locked="0" layoutInCell="1" allowOverlap="1" wp14:anchorId="5750C54B" wp14:editId="47A197A5">
          <wp:simplePos x="0" y="0"/>
          <wp:positionH relativeFrom="column">
            <wp:posOffset>1720215</wp:posOffset>
          </wp:positionH>
          <wp:positionV relativeFrom="paragraph">
            <wp:posOffset>-220980</wp:posOffset>
          </wp:positionV>
          <wp:extent cx="1329055" cy="539750"/>
          <wp:effectExtent l="0" t="0" r="4445" b="0"/>
          <wp:wrapSquare wrapText="bothSides"/>
          <wp:docPr id="865250895" name="Picture 3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5D382C" w14:textId="77777777" w:rsidR="006D3E86" w:rsidRDefault="006D3E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EAF"/>
    <w:rsid w:val="000219C8"/>
    <w:rsid w:val="000268B6"/>
    <w:rsid w:val="00045288"/>
    <w:rsid w:val="00064030"/>
    <w:rsid w:val="00073B70"/>
    <w:rsid w:val="00085DBE"/>
    <w:rsid w:val="00097D1C"/>
    <w:rsid w:val="000A5E4D"/>
    <w:rsid w:val="000C27EC"/>
    <w:rsid w:val="000F4089"/>
    <w:rsid w:val="00104D39"/>
    <w:rsid w:val="00152E68"/>
    <w:rsid w:val="001653F4"/>
    <w:rsid w:val="001832F3"/>
    <w:rsid w:val="001A0567"/>
    <w:rsid w:val="001A7A5D"/>
    <w:rsid w:val="001C0C69"/>
    <w:rsid w:val="001E0F77"/>
    <w:rsid w:val="001E412C"/>
    <w:rsid w:val="00261717"/>
    <w:rsid w:val="00267A83"/>
    <w:rsid w:val="00271306"/>
    <w:rsid w:val="00274ECF"/>
    <w:rsid w:val="00280A85"/>
    <w:rsid w:val="00281F99"/>
    <w:rsid w:val="002C5686"/>
    <w:rsid w:val="002D615B"/>
    <w:rsid w:val="002E54A2"/>
    <w:rsid w:val="002F5F0E"/>
    <w:rsid w:val="00310A8B"/>
    <w:rsid w:val="00314626"/>
    <w:rsid w:val="00331596"/>
    <w:rsid w:val="0033300E"/>
    <w:rsid w:val="00337369"/>
    <w:rsid w:val="00351271"/>
    <w:rsid w:val="0036285F"/>
    <w:rsid w:val="00381B1A"/>
    <w:rsid w:val="003941FC"/>
    <w:rsid w:val="003A4ACF"/>
    <w:rsid w:val="003A5B7D"/>
    <w:rsid w:val="003B18F1"/>
    <w:rsid w:val="004160DD"/>
    <w:rsid w:val="00433183"/>
    <w:rsid w:val="004406B6"/>
    <w:rsid w:val="00494EED"/>
    <w:rsid w:val="004A1F09"/>
    <w:rsid w:val="004A2EEF"/>
    <w:rsid w:val="004A3B11"/>
    <w:rsid w:val="004B2B83"/>
    <w:rsid w:val="004B6769"/>
    <w:rsid w:val="004C0F61"/>
    <w:rsid w:val="004F611F"/>
    <w:rsid w:val="0051267A"/>
    <w:rsid w:val="00553860"/>
    <w:rsid w:val="00554A0C"/>
    <w:rsid w:val="00565E7F"/>
    <w:rsid w:val="00567CC8"/>
    <w:rsid w:val="005C2CC3"/>
    <w:rsid w:val="005F0778"/>
    <w:rsid w:val="00617D9F"/>
    <w:rsid w:val="006223A5"/>
    <w:rsid w:val="006226DA"/>
    <w:rsid w:val="0062486E"/>
    <w:rsid w:val="00646B55"/>
    <w:rsid w:val="006751D2"/>
    <w:rsid w:val="006758A8"/>
    <w:rsid w:val="00697CE9"/>
    <w:rsid w:val="006A0427"/>
    <w:rsid w:val="006B6C29"/>
    <w:rsid w:val="006D2F8C"/>
    <w:rsid w:val="006D3E86"/>
    <w:rsid w:val="006E6EAF"/>
    <w:rsid w:val="00700701"/>
    <w:rsid w:val="007329E5"/>
    <w:rsid w:val="007533E7"/>
    <w:rsid w:val="00777C88"/>
    <w:rsid w:val="007A48C3"/>
    <w:rsid w:val="007C7D95"/>
    <w:rsid w:val="007D06CB"/>
    <w:rsid w:val="007D190E"/>
    <w:rsid w:val="007D4843"/>
    <w:rsid w:val="007D5E96"/>
    <w:rsid w:val="007F48F3"/>
    <w:rsid w:val="00811E35"/>
    <w:rsid w:val="008122CE"/>
    <w:rsid w:val="0081479B"/>
    <w:rsid w:val="008707AE"/>
    <w:rsid w:val="008735E9"/>
    <w:rsid w:val="008814F9"/>
    <w:rsid w:val="00886D1E"/>
    <w:rsid w:val="00887F9D"/>
    <w:rsid w:val="008D4CBB"/>
    <w:rsid w:val="008E2110"/>
    <w:rsid w:val="008F3CFB"/>
    <w:rsid w:val="00903028"/>
    <w:rsid w:val="00914E21"/>
    <w:rsid w:val="00945625"/>
    <w:rsid w:val="00987939"/>
    <w:rsid w:val="009A2E67"/>
    <w:rsid w:val="009B3839"/>
    <w:rsid w:val="009C0975"/>
    <w:rsid w:val="009D71FC"/>
    <w:rsid w:val="00A2578F"/>
    <w:rsid w:val="00A339B3"/>
    <w:rsid w:val="00A50DB3"/>
    <w:rsid w:val="00A671EF"/>
    <w:rsid w:val="00A9283B"/>
    <w:rsid w:val="00AA0416"/>
    <w:rsid w:val="00AA263A"/>
    <w:rsid w:val="00AC29C3"/>
    <w:rsid w:val="00AC764A"/>
    <w:rsid w:val="00AD4DD4"/>
    <w:rsid w:val="00B11BD7"/>
    <w:rsid w:val="00B20454"/>
    <w:rsid w:val="00B253EA"/>
    <w:rsid w:val="00B30737"/>
    <w:rsid w:val="00B41825"/>
    <w:rsid w:val="00B43956"/>
    <w:rsid w:val="00B72337"/>
    <w:rsid w:val="00B8637F"/>
    <w:rsid w:val="00B93602"/>
    <w:rsid w:val="00BA25F5"/>
    <w:rsid w:val="00BB1AED"/>
    <w:rsid w:val="00BF04B2"/>
    <w:rsid w:val="00BF2664"/>
    <w:rsid w:val="00BF5CB8"/>
    <w:rsid w:val="00BF697D"/>
    <w:rsid w:val="00C12175"/>
    <w:rsid w:val="00C31628"/>
    <w:rsid w:val="00C82873"/>
    <w:rsid w:val="00CB55E7"/>
    <w:rsid w:val="00CD482A"/>
    <w:rsid w:val="00CD4CCC"/>
    <w:rsid w:val="00CD6B5E"/>
    <w:rsid w:val="00CE5C04"/>
    <w:rsid w:val="00CF2860"/>
    <w:rsid w:val="00CF6DDB"/>
    <w:rsid w:val="00D0478E"/>
    <w:rsid w:val="00D16CAB"/>
    <w:rsid w:val="00D5299F"/>
    <w:rsid w:val="00D615ED"/>
    <w:rsid w:val="00D67D83"/>
    <w:rsid w:val="00D77063"/>
    <w:rsid w:val="00D8500F"/>
    <w:rsid w:val="00DE194F"/>
    <w:rsid w:val="00DF1983"/>
    <w:rsid w:val="00E14508"/>
    <w:rsid w:val="00E24E0B"/>
    <w:rsid w:val="00E305D0"/>
    <w:rsid w:val="00E4499D"/>
    <w:rsid w:val="00E7410E"/>
    <w:rsid w:val="00EA2085"/>
    <w:rsid w:val="00EA5924"/>
    <w:rsid w:val="00EA653D"/>
    <w:rsid w:val="00EB4519"/>
    <w:rsid w:val="00EE1CEF"/>
    <w:rsid w:val="00F03860"/>
    <w:rsid w:val="00F20119"/>
    <w:rsid w:val="00F257A1"/>
    <w:rsid w:val="00F345D1"/>
    <w:rsid w:val="00F429CF"/>
    <w:rsid w:val="00F87B29"/>
    <w:rsid w:val="00F96E65"/>
    <w:rsid w:val="00FA23AC"/>
    <w:rsid w:val="00FA2806"/>
    <w:rsid w:val="00FA6590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E6CE9"/>
  <w15:chartTrackingRefBased/>
  <w15:docId w15:val="{99171891-E0CD-467F-BF80-3300293B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EAF"/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E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E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E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E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E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E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E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6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6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E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6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EA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6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EAF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6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EA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E6EA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6D3E86"/>
    <w:pPr>
      <w:spacing w:after="0" w:line="240" w:lineRule="auto"/>
    </w:pPr>
    <w:rPr>
      <w:rFonts w:cs="Calibri"/>
      <w:kern w:val="0"/>
      <w:lang w:eastAsia="en-IN"/>
    </w:rPr>
  </w:style>
  <w:style w:type="paragraph" w:customStyle="1" w:styleId="paragraph">
    <w:name w:val="paragraph"/>
    <w:basedOn w:val="Normal"/>
    <w:rsid w:val="006D3E86"/>
    <w:pPr>
      <w:spacing w:after="0" w:line="240" w:lineRule="auto"/>
    </w:pPr>
    <w:rPr>
      <w:rFonts w:cs="Calibri"/>
      <w:kern w:val="0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6D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86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3E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86"/>
    <w:rPr>
      <w:rFonts w:ascii="Calibri" w:eastAsia="Calibri" w:hAnsi="Calibri" w:cs="Times New Roman"/>
      <w14:ligatures w14:val="none"/>
    </w:rPr>
  </w:style>
  <w:style w:type="character" w:styleId="Hyperlink">
    <w:name w:val="Hyperlink"/>
    <w:basedOn w:val="DefaultParagraphFont"/>
    <w:uiPriority w:val="99"/>
    <w:unhideWhenUsed/>
    <w:rsid w:val="001A05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aresh.arora@cii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stainabledevelopment.in/brands/climate-action-programm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Pallavi Srivastava</dc:creator>
  <cp:keywords/>
  <dc:description/>
  <cp:lastModifiedBy>Pallavi Srivastava</cp:lastModifiedBy>
  <cp:revision>7</cp:revision>
  <dcterms:created xsi:type="dcterms:W3CDTF">2025-03-28T12:50:00Z</dcterms:created>
  <dcterms:modified xsi:type="dcterms:W3CDTF">2025-03-28T12:55:00Z</dcterms:modified>
</cp:coreProperties>
</file>